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A1E89C">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rPr>
      </w:pPr>
    </w:p>
    <w:p w14:paraId="6959F7CA">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lang w:eastAsia="zh-CN"/>
        </w:rPr>
        <w:t>关于印发《</w:t>
      </w:r>
      <w:r>
        <w:rPr>
          <w:rFonts w:hint="default" w:ascii="Times New Roman" w:hAnsi="Times New Roman" w:eastAsia="方正小标宋简体" w:cs="Times New Roman"/>
          <w:sz w:val="44"/>
          <w:szCs w:val="44"/>
        </w:rPr>
        <w:t>天津市</w:t>
      </w:r>
      <w:r>
        <w:rPr>
          <w:rFonts w:hint="eastAsia" w:ascii="Times New Roman" w:hAnsi="Times New Roman" w:eastAsia="方正小标宋简体" w:cs="Times New Roman"/>
          <w:sz w:val="44"/>
          <w:szCs w:val="44"/>
          <w:lang w:eastAsia="zh-CN"/>
        </w:rPr>
        <w:t>结核病防治</w:t>
      </w:r>
      <w:r>
        <w:rPr>
          <w:rFonts w:hint="default" w:ascii="Times New Roman" w:hAnsi="Times New Roman" w:eastAsia="方正小标宋简体" w:cs="Times New Roman"/>
          <w:sz w:val="44"/>
          <w:szCs w:val="44"/>
        </w:rPr>
        <w:t>规划</w:t>
      </w:r>
    </w:p>
    <w:p w14:paraId="677E12FE">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（202</w:t>
      </w:r>
      <w:r>
        <w:rPr>
          <w:rFonts w:hint="eastAsia" w:ascii="Times New Roman" w:hAnsi="Times New Roman" w:eastAsia="方正小标宋简体" w:cs="Times New Roman"/>
          <w:sz w:val="44"/>
          <w:szCs w:val="44"/>
          <w:lang w:val="en-US" w:eastAsia="zh-CN"/>
        </w:rPr>
        <w:t>5</w:t>
      </w:r>
      <w:r>
        <w:rPr>
          <w:rFonts w:hint="default" w:ascii="Times New Roman" w:hAnsi="Times New Roman" w:eastAsia="方正小标宋简体" w:cs="Times New Roman"/>
          <w:sz w:val="44"/>
          <w:szCs w:val="44"/>
        </w:rPr>
        <w:t>-2030年）</w:t>
      </w:r>
      <w:r>
        <w:rPr>
          <w:rFonts w:hint="default" w:ascii="Times New Roman" w:hAnsi="Times New Roman" w:eastAsia="方正小标宋简体" w:cs="Times New Roman"/>
          <w:sz w:val="44"/>
          <w:szCs w:val="44"/>
          <w:lang w:eastAsia="zh-CN"/>
        </w:rPr>
        <w:t>》的通知</w:t>
      </w:r>
    </w:p>
    <w:p w14:paraId="4C93FAA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p>
    <w:p w14:paraId="739A5ABB">
      <w:pPr>
        <w:keepNext w:val="0"/>
        <w:keepLines w:val="0"/>
        <w:pageBreakBefore w:val="0"/>
        <w:widowControl w:val="0"/>
        <w:kinsoku/>
        <w:wordWrap/>
        <w:overflowPunct/>
        <w:topLinePunct w:val="0"/>
        <w:autoSpaceDE/>
        <w:autoSpaceDN/>
        <w:bidi w:val="0"/>
        <w:adjustRightInd w:val="0"/>
        <w:snapToGrid w:val="0"/>
        <w:spacing w:line="50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各区卫生健康委（疾控局）、</w:t>
      </w:r>
      <w:r>
        <w:rPr>
          <w:rFonts w:hint="eastAsia" w:ascii="Times New Roman" w:hAnsi="Times New Roman" w:eastAsia="仿宋_GB2312" w:cs="Times New Roman"/>
          <w:color w:val="auto"/>
          <w:sz w:val="32"/>
          <w:szCs w:val="32"/>
          <w:lang w:eastAsia="zh-CN"/>
        </w:rPr>
        <w:t>发展改革委、教育局、科技局、工信局、公安分局、民政局、司法局、财政局、人社局、农业农村委、医保局、市场监管局，天津海关各口岸隶属海关</w:t>
      </w:r>
      <w:r>
        <w:rPr>
          <w:rFonts w:hint="default" w:ascii="Times New Roman" w:hAnsi="Times New Roman" w:eastAsia="仿宋_GB2312" w:cs="Times New Roman"/>
          <w:color w:val="auto"/>
          <w:sz w:val="32"/>
          <w:szCs w:val="32"/>
        </w:rPr>
        <w:t>：</w:t>
      </w:r>
    </w:p>
    <w:p w14:paraId="63E73F79">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为进一步加强我市</w:t>
      </w:r>
      <w:r>
        <w:rPr>
          <w:rFonts w:hint="eastAsia" w:ascii="Times New Roman" w:hAnsi="Times New Roman" w:eastAsia="仿宋_GB2312" w:cs="Times New Roman"/>
          <w:sz w:val="32"/>
          <w:szCs w:val="32"/>
          <w:lang w:eastAsia="zh-CN"/>
        </w:rPr>
        <w:t>结核病</w:t>
      </w:r>
      <w:r>
        <w:rPr>
          <w:rFonts w:hint="default" w:ascii="Times New Roman" w:hAnsi="Times New Roman" w:eastAsia="仿宋_GB2312" w:cs="Times New Roman"/>
          <w:sz w:val="32"/>
          <w:szCs w:val="32"/>
        </w:rPr>
        <w:t>防治工作，持续巩固扩展防治成果，</w:t>
      </w:r>
      <w:r>
        <w:rPr>
          <w:rFonts w:hint="default" w:ascii="Times New Roman" w:hAnsi="Times New Roman" w:eastAsia="仿宋_GB2312" w:cs="Times New Roman"/>
          <w:sz w:val="32"/>
          <w:szCs w:val="32"/>
          <w:lang w:eastAsia="zh-CN"/>
        </w:rPr>
        <w:t>根据《全国结核病防治规划（2024—2030年）》，结合</w:t>
      </w:r>
      <w:r>
        <w:rPr>
          <w:rFonts w:hint="eastAsia" w:ascii="Times New Roman" w:hAnsi="Times New Roman" w:eastAsia="仿宋_GB2312" w:cs="Times New Roman"/>
          <w:sz w:val="32"/>
          <w:szCs w:val="32"/>
          <w:lang w:eastAsia="zh-CN"/>
        </w:rPr>
        <w:t>天津</w:t>
      </w:r>
      <w:r>
        <w:rPr>
          <w:rFonts w:hint="default" w:ascii="Times New Roman" w:hAnsi="Times New Roman" w:eastAsia="仿宋_GB2312" w:cs="Times New Roman"/>
          <w:sz w:val="32"/>
          <w:szCs w:val="32"/>
          <w:lang w:eastAsia="zh-CN"/>
        </w:rPr>
        <w:t>市实际，制定本规划。现印发给你们，请认真组织实施</w:t>
      </w:r>
      <w:r>
        <w:rPr>
          <w:rFonts w:hint="default" w:ascii="Times New Roman" w:hAnsi="Times New Roman" w:eastAsia="仿宋_GB2312" w:cs="Times New Roman"/>
          <w:sz w:val="32"/>
          <w:szCs w:val="32"/>
        </w:rPr>
        <w:t>。</w:t>
      </w:r>
    </w:p>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7"/>
        <w:gridCol w:w="4529"/>
      </w:tblGrid>
      <w:tr w14:paraId="74BD74B3">
        <w:tc>
          <w:tcPr>
            <w:tcW w:w="2499" w:type="pct"/>
            <w:tcBorders>
              <w:tl2br w:val="nil"/>
              <w:tr2bl w:val="nil"/>
            </w:tcBorders>
            <w:noWrap w:val="0"/>
            <w:vAlign w:val="top"/>
          </w:tcPr>
          <w:p w14:paraId="1D327507">
            <w:pPr>
              <w:widowControl w:val="0"/>
              <w:adjustRightInd w:val="0"/>
              <w:snapToGrid w:val="0"/>
              <w:spacing w:after="0" w:line="640" w:lineRule="exact"/>
              <w:jc w:val="center"/>
              <w:rPr>
                <w:rFonts w:hint="default" w:ascii="Times New Roman" w:hAnsi="Times New Roman" w:eastAsia="仿宋_GB2312" w:cs="Times New Roman"/>
                <w:sz w:val="32"/>
                <w:szCs w:val="32"/>
              </w:rPr>
            </w:pPr>
          </w:p>
          <w:p w14:paraId="2A9B1AF1">
            <w:pPr>
              <w:widowControl w:val="0"/>
              <w:adjustRightInd w:val="0"/>
              <w:snapToGrid w:val="0"/>
              <w:spacing w:after="0" w:line="640" w:lineRule="exact"/>
              <w:jc w:val="center"/>
              <w:rPr>
                <w:rFonts w:hint="default" w:ascii="Times New Roman" w:hAnsi="Times New Roman" w:eastAsia="仿宋_GB2312" w:cs="Times New Roman"/>
                <w:sz w:val="32"/>
                <w:szCs w:val="32"/>
              </w:rPr>
            </w:pPr>
          </w:p>
          <w:p w14:paraId="39046C58">
            <w:pPr>
              <w:widowControl w:val="0"/>
              <w:adjustRightInd w:val="0"/>
              <w:snapToGrid w:val="0"/>
              <w:spacing w:after="0" w:line="640" w:lineRule="exact"/>
              <w:jc w:val="center"/>
              <w:rPr>
                <w:rFonts w:hint="default" w:ascii="Times New Roman" w:hAnsi="Times New Roman" w:eastAsia="仿宋_GB2312" w:cs="Times New Roman"/>
                <w:sz w:val="32"/>
                <w:szCs w:val="32"/>
              </w:rPr>
            </w:pPr>
          </w:p>
          <w:p w14:paraId="3DA5AA4E">
            <w:pPr>
              <w:widowControl w:val="0"/>
              <w:adjustRightInd w:val="0"/>
              <w:snapToGrid w:val="0"/>
              <w:spacing w:after="0" w:line="6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eastAsia="zh-CN"/>
              </w:rPr>
              <w:t>疾控局</w:t>
            </w:r>
          </w:p>
        </w:tc>
        <w:tc>
          <w:tcPr>
            <w:tcW w:w="2500" w:type="pct"/>
            <w:tcBorders>
              <w:tl2br w:val="nil"/>
              <w:tr2bl w:val="nil"/>
            </w:tcBorders>
            <w:noWrap w:val="0"/>
            <w:vAlign w:val="bottom"/>
          </w:tcPr>
          <w:p w14:paraId="6A5EB581">
            <w:pPr>
              <w:widowControl w:val="0"/>
              <w:adjustRightInd w:val="0"/>
              <w:snapToGrid w:val="0"/>
              <w:spacing w:after="0" w:line="640" w:lineRule="exact"/>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市卫生健康委</w:t>
            </w:r>
          </w:p>
        </w:tc>
      </w:tr>
      <w:tr w14:paraId="61EA8378">
        <w:tc>
          <w:tcPr>
            <w:tcW w:w="2499" w:type="pct"/>
            <w:tcBorders>
              <w:tl2br w:val="nil"/>
              <w:tr2bl w:val="nil"/>
            </w:tcBorders>
            <w:noWrap w:val="0"/>
            <w:vAlign w:val="top"/>
          </w:tcPr>
          <w:p w14:paraId="0A63C320">
            <w:pPr>
              <w:widowControl w:val="0"/>
              <w:adjustRightInd w:val="0"/>
              <w:snapToGrid w:val="0"/>
              <w:spacing w:after="0" w:line="640" w:lineRule="exact"/>
              <w:jc w:val="center"/>
              <w:rPr>
                <w:rFonts w:hint="default" w:ascii="Times New Roman" w:hAnsi="Times New Roman" w:eastAsia="仿宋_GB2312" w:cs="Times New Roman"/>
                <w:sz w:val="32"/>
                <w:szCs w:val="32"/>
              </w:rPr>
            </w:pPr>
          </w:p>
          <w:p w14:paraId="50B6DFF6">
            <w:pPr>
              <w:widowControl w:val="0"/>
              <w:adjustRightInd w:val="0"/>
              <w:snapToGrid w:val="0"/>
              <w:spacing w:after="0" w:line="640" w:lineRule="exact"/>
              <w:jc w:val="center"/>
              <w:rPr>
                <w:rFonts w:hint="default" w:ascii="Times New Roman" w:hAnsi="Times New Roman" w:eastAsia="仿宋_GB2312" w:cs="Times New Roman"/>
                <w:sz w:val="32"/>
                <w:szCs w:val="32"/>
              </w:rPr>
            </w:pPr>
          </w:p>
          <w:p w14:paraId="67CA11D9">
            <w:pPr>
              <w:widowControl w:val="0"/>
              <w:adjustRightInd w:val="0"/>
              <w:snapToGrid w:val="0"/>
              <w:spacing w:after="0" w:line="640" w:lineRule="exact"/>
              <w:jc w:val="center"/>
              <w:rPr>
                <w:rFonts w:hint="default" w:ascii="Times New Roman" w:hAnsi="Times New Roman" w:eastAsia="仿宋_GB2312" w:cs="Times New Roman"/>
                <w:sz w:val="32"/>
                <w:szCs w:val="32"/>
              </w:rPr>
            </w:pPr>
          </w:p>
          <w:p w14:paraId="3EB5F98D">
            <w:pPr>
              <w:widowControl w:val="0"/>
              <w:adjustRightInd w:val="0"/>
              <w:snapToGrid w:val="0"/>
              <w:spacing w:after="0" w:line="640" w:lineRule="exact"/>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eastAsia="zh-CN"/>
              </w:rPr>
              <w:t>发展改革委</w:t>
            </w:r>
          </w:p>
        </w:tc>
        <w:tc>
          <w:tcPr>
            <w:tcW w:w="2500" w:type="pct"/>
            <w:tcBorders>
              <w:tl2br w:val="nil"/>
              <w:tr2bl w:val="nil"/>
            </w:tcBorders>
            <w:noWrap w:val="0"/>
            <w:vAlign w:val="bottom"/>
          </w:tcPr>
          <w:p w14:paraId="3E04B1A1">
            <w:pPr>
              <w:widowControl w:val="0"/>
              <w:adjustRightInd w:val="0"/>
              <w:snapToGrid w:val="0"/>
              <w:spacing w:after="0" w:line="64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eastAsia="zh-CN"/>
              </w:rPr>
              <w:t>教委</w:t>
            </w:r>
          </w:p>
        </w:tc>
      </w:tr>
      <w:tr w14:paraId="72A607AE">
        <w:tc>
          <w:tcPr>
            <w:tcW w:w="2499" w:type="pct"/>
            <w:tcBorders>
              <w:tl2br w:val="nil"/>
              <w:tr2bl w:val="nil"/>
            </w:tcBorders>
            <w:noWrap w:val="0"/>
            <w:vAlign w:val="top"/>
          </w:tcPr>
          <w:p w14:paraId="1735AE98">
            <w:pPr>
              <w:widowControl w:val="0"/>
              <w:adjustRightInd w:val="0"/>
              <w:snapToGrid w:val="0"/>
              <w:spacing w:after="0" w:line="640" w:lineRule="exact"/>
              <w:jc w:val="center"/>
              <w:rPr>
                <w:rFonts w:hint="default" w:ascii="Times New Roman" w:hAnsi="Times New Roman" w:eastAsia="仿宋_GB2312" w:cs="Times New Roman"/>
                <w:sz w:val="32"/>
                <w:szCs w:val="32"/>
              </w:rPr>
            </w:pPr>
          </w:p>
          <w:p w14:paraId="7BAD09B2">
            <w:pPr>
              <w:widowControl w:val="0"/>
              <w:adjustRightInd w:val="0"/>
              <w:snapToGrid w:val="0"/>
              <w:spacing w:after="0" w:line="640" w:lineRule="exact"/>
              <w:jc w:val="center"/>
              <w:rPr>
                <w:rFonts w:hint="default" w:ascii="Times New Roman" w:hAnsi="Times New Roman" w:eastAsia="仿宋_GB2312" w:cs="Times New Roman"/>
                <w:sz w:val="32"/>
                <w:szCs w:val="32"/>
              </w:rPr>
            </w:pPr>
          </w:p>
          <w:p w14:paraId="54CB4BBF">
            <w:pPr>
              <w:widowControl w:val="0"/>
              <w:adjustRightInd w:val="0"/>
              <w:snapToGrid w:val="0"/>
              <w:spacing w:after="0" w:line="640" w:lineRule="exact"/>
              <w:jc w:val="center"/>
              <w:rPr>
                <w:rFonts w:hint="default" w:ascii="Times New Roman" w:hAnsi="Times New Roman" w:eastAsia="仿宋_GB2312" w:cs="Times New Roman"/>
                <w:sz w:val="32"/>
                <w:szCs w:val="32"/>
              </w:rPr>
            </w:pPr>
          </w:p>
          <w:p w14:paraId="55F50106">
            <w:pPr>
              <w:widowControl w:val="0"/>
              <w:adjustRightInd w:val="0"/>
              <w:snapToGrid w:val="0"/>
              <w:spacing w:after="0" w:line="64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市科技局</w:t>
            </w:r>
          </w:p>
        </w:tc>
        <w:tc>
          <w:tcPr>
            <w:tcW w:w="2500" w:type="pct"/>
            <w:tcBorders>
              <w:tl2br w:val="nil"/>
              <w:tr2bl w:val="nil"/>
            </w:tcBorders>
            <w:noWrap w:val="0"/>
            <w:vAlign w:val="bottom"/>
          </w:tcPr>
          <w:p w14:paraId="3CE2FC8F">
            <w:pPr>
              <w:widowControl w:val="0"/>
              <w:adjustRightInd w:val="0"/>
              <w:snapToGrid w:val="0"/>
              <w:spacing w:after="0" w:line="640" w:lineRule="exact"/>
              <w:jc w:val="center"/>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市工信局</w:t>
            </w:r>
          </w:p>
        </w:tc>
      </w:tr>
      <w:tr w14:paraId="46E82C41">
        <w:tc>
          <w:tcPr>
            <w:tcW w:w="2499" w:type="pct"/>
            <w:tcBorders>
              <w:tl2br w:val="nil"/>
              <w:tr2bl w:val="nil"/>
            </w:tcBorders>
            <w:noWrap w:val="0"/>
            <w:vAlign w:val="top"/>
          </w:tcPr>
          <w:p w14:paraId="553AA483">
            <w:pPr>
              <w:widowControl w:val="0"/>
              <w:adjustRightInd w:val="0"/>
              <w:snapToGrid w:val="0"/>
              <w:spacing w:after="0" w:line="640" w:lineRule="exact"/>
              <w:jc w:val="center"/>
              <w:rPr>
                <w:rFonts w:hint="default" w:ascii="Times New Roman" w:hAnsi="Times New Roman" w:eastAsia="仿宋_GB2312" w:cs="Times New Roman"/>
                <w:sz w:val="32"/>
                <w:szCs w:val="32"/>
              </w:rPr>
            </w:pPr>
          </w:p>
          <w:p w14:paraId="5E0D8667">
            <w:pPr>
              <w:widowControl w:val="0"/>
              <w:adjustRightInd w:val="0"/>
              <w:snapToGrid w:val="0"/>
              <w:spacing w:after="0" w:line="640" w:lineRule="exact"/>
              <w:jc w:val="both"/>
              <w:rPr>
                <w:rFonts w:hint="default" w:ascii="Times New Roman" w:hAnsi="Times New Roman" w:eastAsia="仿宋_GB2312" w:cs="Times New Roman"/>
                <w:sz w:val="32"/>
                <w:szCs w:val="32"/>
                <w:lang w:eastAsia="zh-CN"/>
              </w:rPr>
            </w:pPr>
          </w:p>
          <w:p w14:paraId="42012E6D">
            <w:pPr>
              <w:widowControl w:val="0"/>
              <w:adjustRightInd w:val="0"/>
              <w:snapToGrid w:val="0"/>
              <w:spacing w:after="0" w:line="640" w:lineRule="exact"/>
              <w:jc w:val="both"/>
              <w:rPr>
                <w:rFonts w:hint="eastAsia" w:ascii="Times New Roman" w:hAnsi="Times New Roman" w:eastAsia="仿宋_GB2312" w:cs="Times New Roman"/>
                <w:sz w:val="32"/>
                <w:szCs w:val="32"/>
                <w:lang w:eastAsia="zh-CN"/>
              </w:rPr>
            </w:pPr>
          </w:p>
          <w:p w14:paraId="2C316DD8">
            <w:pPr>
              <w:widowControl w:val="0"/>
              <w:adjustRightInd w:val="0"/>
              <w:snapToGrid w:val="0"/>
              <w:spacing w:after="0" w:line="640" w:lineRule="exact"/>
              <w:jc w:val="center"/>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市公安局</w:t>
            </w:r>
          </w:p>
        </w:tc>
        <w:tc>
          <w:tcPr>
            <w:tcW w:w="2500" w:type="pct"/>
            <w:tcBorders>
              <w:tl2br w:val="nil"/>
              <w:tr2bl w:val="nil"/>
            </w:tcBorders>
            <w:noWrap w:val="0"/>
            <w:vAlign w:val="bottom"/>
          </w:tcPr>
          <w:p w14:paraId="0DDBE73A">
            <w:pPr>
              <w:widowControl w:val="0"/>
              <w:adjustRightInd w:val="0"/>
              <w:snapToGrid w:val="0"/>
              <w:spacing w:after="0" w:line="640" w:lineRule="exact"/>
              <w:jc w:val="both"/>
              <w:rPr>
                <w:rFonts w:hint="default" w:ascii="Times New Roman" w:hAnsi="Times New Roman" w:eastAsia="仿宋_GB2312" w:cs="Times New Roman"/>
                <w:sz w:val="32"/>
                <w:szCs w:val="32"/>
                <w:lang w:eastAsia="zh-CN"/>
              </w:rPr>
            </w:pPr>
          </w:p>
          <w:p w14:paraId="20249B0E">
            <w:pPr>
              <w:widowControl w:val="0"/>
              <w:adjustRightInd w:val="0"/>
              <w:snapToGrid w:val="0"/>
              <w:spacing w:after="0" w:line="640" w:lineRule="exact"/>
              <w:jc w:val="both"/>
              <w:rPr>
                <w:rFonts w:hint="default" w:ascii="Times New Roman" w:hAnsi="Times New Roman" w:eastAsia="仿宋_GB2312" w:cs="Times New Roman"/>
                <w:sz w:val="32"/>
                <w:szCs w:val="32"/>
              </w:rPr>
            </w:pPr>
          </w:p>
          <w:p w14:paraId="6F9CCA10">
            <w:pPr>
              <w:widowControl w:val="0"/>
              <w:adjustRightInd w:val="0"/>
              <w:snapToGrid w:val="0"/>
              <w:spacing w:after="0" w:line="640" w:lineRule="exact"/>
              <w:jc w:val="center"/>
              <w:rPr>
                <w:rFonts w:hint="default" w:ascii="Times New Roman" w:hAnsi="Times New Roman" w:eastAsia="仿宋_GB2312" w:cs="Times New Roman"/>
                <w:sz w:val="32"/>
                <w:szCs w:val="32"/>
              </w:rPr>
            </w:pPr>
          </w:p>
          <w:p w14:paraId="506D7546">
            <w:pPr>
              <w:widowControl w:val="0"/>
              <w:adjustRightInd w:val="0"/>
              <w:snapToGrid w:val="0"/>
              <w:spacing w:after="0" w:line="64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eastAsia="zh-CN"/>
              </w:rPr>
              <w:t>民政局</w:t>
            </w:r>
          </w:p>
        </w:tc>
      </w:tr>
    </w:tbl>
    <w:p w14:paraId="61862429"/>
    <w:p w14:paraId="6878ACF1">
      <w:pPr>
        <w:pStyle w:val="2"/>
      </w:pPr>
    </w:p>
    <w:p w14:paraId="7EEA8D61"/>
    <w:tbl>
      <w:tblPr>
        <w:tblStyle w:val="9"/>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527"/>
        <w:gridCol w:w="4529"/>
      </w:tblGrid>
      <w:tr w14:paraId="21CF6BE5">
        <w:tc>
          <w:tcPr>
            <w:tcW w:w="2499" w:type="pct"/>
            <w:tcBorders>
              <w:tl2br w:val="nil"/>
              <w:tr2bl w:val="nil"/>
            </w:tcBorders>
            <w:noWrap w:val="0"/>
            <w:vAlign w:val="top"/>
          </w:tcPr>
          <w:p w14:paraId="2734B947">
            <w:pPr>
              <w:widowControl w:val="0"/>
              <w:adjustRightInd w:val="0"/>
              <w:snapToGrid w:val="0"/>
              <w:spacing w:after="0" w:line="640" w:lineRule="exact"/>
              <w:jc w:val="center"/>
              <w:rPr>
                <w:rFonts w:hint="default" w:ascii="Times New Roman" w:hAnsi="Times New Roman" w:eastAsia="仿宋_GB2312" w:cs="Times New Roman"/>
                <w:sz w:val="32"/>
                <w:szCs w:val="32"/>
              </w:rPr>
            </w:pPr>
          </w:p>
          <w:p w14:paraId="12243C15">
            <w:pPr>
              <w:widowControl w:val="0"/>
              <w:adjustRightInd w:val="0"/>
              <w:snapToGrid w:val="0"/>
              <w:spacing w:after="0" w:line="640" w:lineRule="exact"/>
              <w:jc w:val="center"/>
              <w:rPr>
                <w:rFonts w:hint="default" w:ascii="Times New Roman" w:hAnsi="Times New Roman" w:eastAsia="仿宋_GB2312" w:cs="Times New Roman"/>
                <w:sz w:val="32"/>
                <w:szCs w:val="32"/>
              </w:rPr>
            </w:pPr>
          </w:p>
          <w:p w14:paraId="3F80D55F">
            <w:pPr>
              <w:widowControl w:val="0"/>
              <w:adjustRightInd w:val="0"/>
              <w:snapToGrid w:val="0"/>
              <w:spacing w:after="0" w:line="640" w:lineRule="exact"/>
              <w:jc w:val="both"/>
              <w:rPr>
                <w:rFonts w:hint="default" w:ascii="Times New Roman" w:hAnsi="Times New Roman" w:eastAsia="仿宋_GB2312" w:cs="Times New Roman"/>
                <w:sz w:val="32"/>
                <w:szCs w:val="32"/>
                <w:lang w:eastAsia="zh-CN"/>
              </w:rPr>
            </w:pPr>
          </w:p>
          <w:p w14:paraId="47B2AA15">
            <w:pPr>
              <w:widowControl w:val="0"/>
              <w:adjustRightInd w:val="0"/>
              <w:snapToGrid w:val="0"/>
              <w:spacing w:after="0" w:line="640" w:lineRule="exact"/>
              <w:jc w:val="center"/>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市司法局</w:t>
            </w:r>
          </w:p>
        </w:tc>
        <w:tc>
          <w:tcPr>
            <w:tcW w:w="2500" w:type="pct"/>
            <w:tcBorders>
              <w:tl2br w:val="nil"/>
              <w:tr2bl w:val="nil"/>
            </w:tcBorders>
            <w:noWrap w:val="0"/>
            <w:vAlign w:val="bottom"/>
          </w:tcPr>
          <w:p w14:paraId="3113C70C">
            <w:pPr>
              <w:widowControl w:val="0"/>
              <w:adjustRightInd w:val="0"/>
              <w:snapToGrid w:val="0"/>
              <w:spacing w:after="0" w:line="640" w:lineRule="exact"/>
              <w:jc w:val="center"/>
              <w:rPr>
                <w:rFonts w:hint="default" w:ascii="Times New Roman" w:hAnsi="Times New Roman" w:eastAsia="仿宋_GB2312" w:cs="Times New Roman"/>
                <w:sz w:val="32"/>
                <w:szCs w:val="32"/>
                <w:lang w:eastAsia="zh-CN"/>
              </w:rPr>
            </w:pPr>
          </w:p>
          <w:p w14:paraId="34280DB0">
            <w:pPr>
              <w:widowControl w:val="0"/>
              <w:adjustRightInd w:val="0"/>
              <w:snapToGrid w:val="0"/>
              <w:spacing w:after="0" w:line="640" w:lineRule="exact"/>
              <w:jc w:val="both"/>
              <w:rPr>
                <w:rFonts w:hint="default" w:ascii="Times New Roman" w:hAnsi="Times New Roman" w:eastAsia="仿宋_GB2312" w:cs="Times New Roman"/>
                <w:sz w:val="32"/>
                <w:szCs w:val="32"/>
                <w:lang w:eastAsia="zh-CN"/>
              </w:rPr>
            </w:pPr>
          </w:p>
          <w:p w14:paraId="38E11552">
            <w:pPr>
              <w:widowControl w:val="0"/>
              <w:adjustRightInd w:val="0"/>
              <w:snapToGrid w:val="0"/>
              <w:spacing w:after="0" w:line="640" w:lineRule="exact"/>
              <w:jc w:val="center"/>
              <w:rPr>
                <w:rFonts w:hint="default" w:ascii="Times New Roman" w:hAnsi="Times New Roman" w:eastAsia="仿宋_GB2312" w:cs="Times New Roman"/>
                <w:sz w:val="32"/>
                <w:szCs w:val="32"/>
                <w:lang w:eastAsia="zh-CN"/>
              </w:rPr>
            </w:pPr>
          </w:p>
          <w:p w14:paraId="5E9D2E82">
            <w:pPr>
              <w:widowControl w:val="0"/>
              <w:adjustRightInd w:val="0"/>
              <w:snapToGrid w:val="0"/>
              <w:spacing w:after="0" w:line="640" w:lineRule="exact"/>
              <w:jc w:val="center"/>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市财政局</w:t>
            </w:r>
          </w:p>
        </w:tc>
      </w:tr>
      <w:tr w14:paraId="70F4D88F">
        <w:tc>
          <w:tcPr>
            <w:tcW w:w="2499" w:type="pct"/>
            <w:tcBorders>
              <w:tl2br w:val="nil"/>
              <w:tr2bl w:val="nil"/>
            </w:tcBorders>
            <w:noWrap w:val="0"/>
            <w:vAlign w:val="top"/>
          </w:tcPr>
          <w:p w14:paraId="104D20C8">
            <w:pPr>
              <w:widowControl w:val="0"/>
              <w:adjustRightInd w:val="0"/>
              <w:snapToGrid w:val="0"/>
              <w:spacing w:after="0" w:line="640" w:lineRule="exact"/>
              <w:jc w:val="center"/>
              <w:rPr>
                <w:rFonts w:hint="default" w:ascii="Times New Roman" w:hAnsi="Times New Roman" w:eastAsia="仿宋_GB2312" w:cs="Times New Roman"/>
                <w:sz w:val="32"/>
                <w:szCs w:val="32"/>
              </w:rPr>
            </w:pPr>
          </w:p>
          <w:p w14:paraId="14911883">
            <w:pPr>
              <w:widowControl w:val="0"/>
              <w:adjustRightInd w:val="0"/>
              <w:snapToGrid w:val="0"/>
              <w:spacing w:after="0" w:line="640" w:lineRule="exact"/>
              <w:jc w:val="center"/>
              <w:rPr>
                <w:rFonts w:hint="default" w:ascii="Times New Roman" w:hAnsi="Times New Roman" w:eastAsia="仿宋_GB2312" w:cs="Times New Roman"/>
                <w:sz w:val="32"/>
                <w:szCs w:val="32"/>
              </w:rPr>
            </w:pPr>
          </w:p>
          <w:p w14:paraId="5EEEE2EC">
            <w:pPr>
              <w:widowControl w:val="0"/>
              <w:adjustRightInd w:val="0"/>
              <w:snapToGrid w:val="0"/>
              <w:spacing w:after="0" w:line="640" w:lineRule="exact"/>
              <w:jc w:val="center"/>
              <w:rPr>
                <w:rFonts w:hint="default" w:ascii="Times New Roman" w:hAnsi="Times New Roman" w:eastAsia="仿宋_GB2312" w:cs="Times New Roman"/>
                <w:sz w:val="32"/>
                <w:szCs w:val="32"/>
              </w:rPr>
            </w:pPr>
          </w:p>
          <w:p w14:paraId="53BEE4B9">
            <w:pPr>
              <w:widowControl w:val="0"/>
              <w:adjustRightInd w:val="0"/>
              <w:snapToGrid w:val="0"/>
              <w:spacing w:after="0" w:line="640" w:lineRule="exact"/>
              <w:jc w:val="center"/>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市人社局</w:t>
            </w:r>
          </w:p>
        </w:tc>
        <w:tc>
          <w:tcPr>
            <w:tcW w:w="2500" w:type="pct"/>
            <w:tcBorders>
              <w:tl2br w:val="nil"/>
              <w:tr2bl w:val="nil"/>
            </w:tcBorders>
            <w:noWrap w:val="0"/>
            <w:vAlign w:val="bottom"/>
          </w:tcPr>
          <w:p w14:paraId="34BA7B6D">
            <w:pPr>
              <w:widowControl w:val="0"/>
              <w:adjustRightInd w:val="0"/>
              <w:snapToGrid w:val="0"/>
              <w:spacing w:after="0" w:line="640" w:lineRule="exact"/>
              <w:jc w:val="center"/>
              <w:rPr>
                <w:rFonts w:hint="default"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市农业农村委</w:t>
            </w:r>
          </w:p>
        </w:tc>
      </w:tr>
      <w:tr w14:paraId="593D8922">
        <w:tc>
          <w:tcPr>
            <w:tcW w:w="2499" w:type="pct"/>
            <w:tcBorders>
              <w:tl2br w:val="nil"/>
              <w:tr2bl w:val="nil"/>
            </w:tcBorders>
            <w:noWrap w:val="0"/>
            <w:vAlign w:val="top"/>
          </w:tcPr>
          <w:p w14:paraId="2F9EF090">
            <w:pPr>
              <w:widowControl w:val="0"/>
              <w:adjustRightInd w:val="0"/>
              <w:snapToGrid w:val="0"/>
              <w:spacing w:after="0" w:line="640" w:lineRule="exact"/>
              <w:jc w:val="center"/>
              <w:rPr>
                <w:rFonts w:hint="default" w:ascii="Times New Roman" w:hAnsi="Times New Roman" w:eastAsia="仿宋_GB2312" w:cs="Times New Roman"/>
                <w:sz w:val="32"/>
                <w:szCs w:val="32"/>
              </w:rPr>
            </w:pPr>
          </w:p>
          <w:p w14:paraId="3A4CBAB4">
            <w:pPr>
              <w:widowControl w:val="0"/>
              <w:adjustRightInd w:val="0"/>
              <w:snapToGrid w:val="0"/>
              <w:spacing w:after="0" w:line="640" w:lineRule="exact"/>
              <w:jc w:val="center"/>
              <w:rPr>
                <w:rFonts w:hint="default" w:ascii="Times New Roman" w:hAnsi="Times New Roman" w:eastAsia="仿宋_GB2312" w:cs="Times New Roman"/>
                <w:sz w:val="32"/>
                <w:szCs w:val="32"/>
              </w:rPr>
            </w:pPr>
          </w:p>
          <w:p w14:paraId="0A2AEC4F">
            <w:pPr>
              <w:widowControl w:val="0"/>
              <w:adjustRightInd w:val="0"/>
              <w:snapToGrid w:val="0"/>
              <w:spacing w:after="0" w:line="640" w:lineRule="exact"/>
              <w:jc w:val="center"/>
              <w:rPr>
                <w:rFonts w:hint="default" w:ascii="Times New Roman" w:hAnsi="Times New Roman" w:eastAsia="仿宋_GB2312" w:cs="Times New Roman"/>
                <w:sz w:val="32"/>
                <w:szCs w:val="32"/>
              </w:rPr>
            </w:pPr>
          </w:p>
          <w:p w14:paraId="33DC9D42">
            <w:pPr>
              <w:widowControl w:val="0"/>
              <w:adjustRightInd w:val="0"/>
              <w:snapToGrid w:val="0"/>
              <w:spacing w:after="0" w:line="640" w:lineRule="exact"/>
              <w:jc w:val="center"/>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市</w:t>
            </w:r>
            <w:r>
              <w:rPr>
                <w:rFonts w:hint="default" w:ascii="Times New Roman" w:hAnsi="Times New Roman" w:eastAsia="仿宋_GB2312" w:cs="Times New Roman"/>
                <w:sz w:val="32"/>
                <w:szCs w:val="32"/>
                <w:lang w:eastAsia="zh-CN"/>
              </w:rPr>
              <w:t>医保局</w:t>
            </w:r>
          </w:p>
        </w:tc>
        <w:tc>
          <w:tcPr>
            <w:tcW w:w="2500" w:type="pct"/>
            <w:tcBorders>
              <w:tl2br w:val="nil"/>
              <w:tr2bl w:val="nil"/>
            </w:tcBorders>
            <w:noWrap w:val="0"/>
            <w:vAlign w:val="bottom"/>
          </w:tcPr>
          <w:p w14:paraId="40DCB222">
            <w:pPr>
              <w:widowControl w:val="0"/>
              <w:adjustRightInd w:val="0"/>
              <w:snapToGrid w:val="0"/>
              <w:spacing w:after="0" w:line="640" w:lineRule="exact"/>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市药监局</w:t>
            </w:r>
          </w:p>
        </w:tc>
      </w:tr>
      <w:tr w14:paraId="1720BB33">
        <w:tc>
          <w:tcPr>
            <w:tcW w:w="2499" w:type="pct"/>
            <w:tcBorders>
              <w:tl2br w:val="nil"/>
              <w:tr2bl w:val="nil"/>
            </w:tcBorders>
            <w:noWrap w:val="0"/>
            <w:vAlign w:val="top"/>
          </w:tcPr>
          <w:p w14:paraId="23410DEF">
            <w:pPr>
              <w:widowControl w:val="0"/>
              <w:adjustRightInd w:val="0"/>
              <w:snapToGrid w:val="0"/>
              <w:spacing w:after="0" w:line="640" w:lineRule="exact"/>
              <w:jc w:val="center"/>
              <w:rPr>
                <w:rFonts w:hint="eastAsia" w:ascii="Times New Roman" w:hAnsi="Times New Roman" w:eastAsia="仿宋_GB2312" w:cs="Times New Roman"/>
                <w:sz w:val="32"/>
                <w:szCs w:val="32"/>
                <w:lang w:eastAsia="zh-CN"/>
              </w:rPr>
            </w:pPr>
          </w:p>
        </w:tc>
        <w:tc>
          <w:tcPr>
            <w:tcW w:w="2500" w:type="pct"/>
            <w:tcBorders>
              <w:tl2br w:val="nil"/>
              <w:tr2bl w:val="nil"/>
            </w:tcBorders>
            <w:noWrap w:val="0"/>
            <w:vAlign w:val="bottom"/>
          </w:tcPr>
          <w:p w14:paraId="295F0C91">
            <w:pPr>
              <w:widowControl w:val="0"/>
              <w:adjustRightInd w:val="0"/>
              <w:snapToGrid w:val="0"/>
              <w:spacing w:after="0" w:line="640" w:lineRule="exact"/>
              <w:jc w:val="center"/>
              <w:rPr>
                <w:rFonts w:hint="eastAsia" w:ascii="Times New Roman" w:hAnsi="Times New Roman" w:eastAsia="仿宋_GB2312" w:cs="Times New Roman"/>
                <w:sz w:val="32"/>
                <w:szCs w:val="32"/>
                <w:lang w:eastAsia="zh-CN"/>
              </w:rPr>
            </w:pPr>
          </w:p>
          <w:p w14:paraId="6C880C53">
            <w:pPr>
              <w:widowControl w:val="0"/>
              <w:adjustRightInd w:val="0"/>
              <w:snapToGrid w:val="0"/>
              <w:spacing w:after="0" w:line="640" w:lineRule="exact"/>
              <w:jc w:val="center"/>
              <w:rPr>
                <w:rFonts w:hint="eastAsia" w:ascii="Times New Roman" w:hAnsi="Times New Roman" w:eastAsia="仿宋_GB2312" w:cs="Times New Roman"/>
                <w:sz w:val="32"/>
                <w:szCs w:val="32"/>
                <w:lang w:eastAsia="zh-CN"/>
              </w:rPr>
            </w:pPr>
          </w:p>
          <w:p w14:paraId="6B78D99C">
            <w:pPr>
              <w:widowControl w:val="0"/>
              <w:adjustRightInd w:val="0"/>
              <w:snapToGrid w:val="0"/>
              <w:spacing w:after="0" w:line="640" w:lineRule="exact"/>
              <w:jc w:val="center"/>
              <w:rPr>
                <w:rFonts w:hint="eastAsia" w:ascii="Times New Roman" w:hAnsi="Times New Roman" w:eastAsia="仿宋_GB2312" w:cs="Times New Roman"/>
                <w:sz w:val="32"/>
                <w:szCs w:val="32"/>
                <w:lang w:eastAsia="zh-CN"/>
              </w:rPr>
            </w:pPr>
          </w:p>
          <w:p w14:paraId="27A83F94">
            <w:pPr>
              <w:widowControl w:val="0"/>
              <w:adjustRightInd w:val="0"/>
              <w:snapToGrid w:val="0"/>
              <w:spacing w:after="0" w:line="640" w:lineRule="exact"/>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天津海关</w:t>
            </w:r>
          </w:p>
        </w:tc>
      </w:tr>
    </w:tbl>
    <w:p w14:paraId="0E232520">
      <w:pPr>
        <w:spacing w:after="0" w:line="560" w:lineRule="exact"/>
        <w:ind w:firstLine="5440" w:firstLineChars="17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日</w:t>
      </w:r>
    </w:p>
    <w:p w14:paraId="15C65B58">
      <w:pPr>
        <w:spacing w:after="0"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（信息公开形式：</w:t>
      </w:r>
      <w:r>
        <w:rPr>
          <w:rFonts w:hint="default" w:ascii="Times New Roman" w:hAnsi="Times New Roman" w:eastAsia="仿宋_GB2312" w:cs="Times New Roman"/>
          <w:sz w:val="32"/>
          <w:szCs w:val="32"/>
          <w:lang w:eastAsia="zh-CN"/>
        </w:rPr>
        <w:t>主动</w:t>
      </w:r>
      <w:r>
        <w:rPr>
          <w:rFonts w:hint="default" w:ascii="Times New Roman" w:hAnsi="Times New Roman" w:eastAsia="仿宋_GB2312" w:cs="Times New Roman"/>
          <w:sz w:val="32"/>
          <w:szCs w:val="32"/>
        </w:rPr>
        <w:t>公开）</w:t>
      </w:r>
      <w:r>
        <w:rPr>
          <w:rFonts w:hint="default" w:ascii="Times New Roman" w:hAnsi="Times New Roman" w:eastAsia="仿宋_GB2312" w:cs="Times New Roman"/>
          <w:sz w:val="28"/>
          <w:szCs w:val="28"/>
        </w:rPr>
        <w:t xml:space="preserve"> </w:t>
      </w:r>
    </w:p>
    <w:p w14:paraId="7349B363">
      <w:pPr>
        <w:pStyle w:val="7"/>
        <w:widowControl/>
        <w:shd w:val="clear" w:color="auto" w:fill="FFFFFF"/>
        <w:spacing w:beforeAutospacing="0" w:afterAutospacing="0" w:line="640" w:lineRule="exact"/>
        <w:jc w:val="center"/>
        <w:rPr>
          <w:rFonts w:hint="default" w:ascii="Times New Roman" w:hAnsi="Times New Roman" w:eastAsia="方正小标宋简体" w:cs="Times New Roman"/>
          <w:kern w:val="2"/>
          <w:sz w:val="44"/>
          <w:szCs w:val="44"/>
          <w:lang w:val="en-US" w:eastAsia="zh-CN" w:bidi="ar-SA"/>
        </w:rPr>
      </w:pPr>
    </w:p>
    <w:p w14:paraId="7DCF5EC0">
      <w:pPr>
        <w:pStyle w:val="7"/>
        <w:widowControl/>
        <w:shd w:val="clear" w:color="auto" w:fill="FFFFFF"/>
        <w:spacing w:before="0" w:beforeAutospacing="0" w:after="0" w:afterAutospacing="0" w:line="560" w:lineRule="exact"/>
        <w:jc w:val="both"/>
        <w:rPr>
          <w:rFonts w:hint="default" w:ascii="Times New Roman" w:hAnsi="Times New Roman" w:eastAsia="方正小标宋简体" w:cs="Times New Roman"/>
          <w:kern w:val="2"/>
          <w:sz w:val="44"/>
          <w:szCs w:val="44"/>
          <w:lang w:val="en-US" w:eastAsia="zh-CN" w:bidi="ar-SA"/>
        </w:rPr>
      </w:pPr>
    </w:p>
    <w:p w14:paraId="0ABEBE70">
      <w:pPr>
        <w:pStyle w:val="7"/>
        <w:widowControl/>
        <w:shd w:val="clear" w:color="auto" w:fill="FFFFFF"/>
        <w:spacing w:before="0" w:beforeAutospacing="0" w:after="0" w:afterAutospacing="0" w:line="640" w:lineRule="exact"/>
        <w:jc w:val="center"/>
        <w:rPr>
          <w:rFonts w:hint="default" w:ascii="Times New Roman" w:hAnsi="Times New Roman" w:eastAsia="方正小标宋简体" w:cs="Times New Roman"/>
          <w:kern w:val="2"/>
          <w:sz w:val="44"/>
          <w:szCs w:val="44"/>
          <w:lang w:val="en-US" w:eastAsia="zh-CN" w:bidi="ar-SA"/>
        </w:rPr>
      </w:pPr>
      <w:r>
        <w:rPr>
          <w:rFonts w:hint="default" w:ascii="Times New Roman" w:hAnsi="Times New Roman" w:eastAsia="方正小标宋简体" w:cs="Times New Roman"/>
          <w:kern w:val="2"/>
          <w:sz w:val="44"/>
          <w:szCs w:val="44"/>
          <w:lang w:val="en-US" w:eastAsia="zh-CN" w:bidi="ar-SA"/>
        </w:rPr>
        <w:t>天津市结核病防治规划</w:t>
      </w:r>
    </w:p>
    <w:p w14:paraId="50F904D2">
      <w:pPr>
        <w:pStyle w:val="7"/>
        <w:widowControl/>
        <w:shd w:val="clear" w:color="auto" w:fill="FFFFFF"/>
        <w:spacing w:before="0" w:beforeAutospacing="0" w:after="0" w:afterAutospacing="0" w:line="640" w:lineRule="exact"/>
        <w:jc w:val="center"/>
        <w:rPr>
          <w:rFonts w:ascii="Times New Roman" w:hAnsi="Times New Roman" w:eastAsia="方正小标宋简体"/>
          <w:sz w:val="44"/>
          <w:szCs w:val="44"/>
          <w:lang w:bidi="ar"/>
        </w:rPr>
      </w:pPr>
      <w:r>
        <w:rPr>
          <w:rFonts w:hint="default" w:ascii="Times New Roman" w:hAnsi="Times New Roman" w:eastAsia="方正小标宋简体" w:cs="Times New Roman"/>
          <w:kern w:val="2"/>
          <w:sz w:val="44"/>
          <w:szCs w:val="44"/>
          <w:lang w:val="en-US" w:eastAsia="zh-CN" w:bidi="ar-SA"/>
        </w:rPr>
        <w:t>（2025—2030年）</w:t>
      </w:r>
    </w:p>
    <w:p w14:paraId="3A9006A3">
      <w:pPr>
        <w:pStyle w:val="5"/>
        <w:spacing w:line="560" w:lineRule="exact"/>
        <w:jc w:val="center"/>
        <w:rPr>
          <w:rFonts w:ascii="Times New Roman" w:hAnsi="Times New Roman" w:eastAsia="仿宋_GB2312" w:cs="Times New Roman"/>
          <w:sz w:val="32"/>
          <w:szCs w:val="32"/>
        </w:rPr>
      </w:pPr>
    </w:p>
    <w:p w14:paraId="0F0D126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为贯彻落实《全国结核病防治规划（2024—2030年）》</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sz w:val="32"/>
          <w:szCs w:val="32"/>
        </w:rPr>
        <w:t>结合我市实际情况，制定本规划。</w:t>
      </w:r>
    </w:p>
    <w:p w14:paraId="40CE9385">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一、目标要求</w:t>
      </w:r>
    </w:p>
    <w:p w14:paraId="07B7EEC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仿宋_GB2312" w:hAnsi="仿宋_GB2312" w:eastAsia="仿宋_GB2312" w:cs="仿宋_GB2312"/>
          <w:sz w:val="32"/>
          <w:szCs w:val="40"/>
        </w:rPr>
        <w:t>以习近平新时代中国特色社会主义思想为指导，全面贯彻党的二十大和二十届二中、三中</w:t>
      </w:r>
      <w:r>
        <w:rPr>
          <w:rFonts w:hint="eastAsia" w:ascii="仿宋_GB2312" w:hAnsi="仿宋_GB2312" w:eastAsia="仿宋_GB2312" w:cs="仿宋_GB2312"/>
          <w:sz w:val="32"/>
          <w:szCs w:val="40"/>
        </w:rPr>
        <w:t>、四中</w:t>
      </w:r>
      <w:r>
        <w:rPr>
          <w:rFonts w:ascii="仿宋_GB2312" w:hAnsi="仿宋_GB2312" w:eastAsia="仿宋_GB2312" w:cs="仿宋_GB2312"/>
          <w:sz w:val="32"/>
          <w:szCs w:val="40"/>
        </w:rPr>
        <w:t>全会精神，</w:t>
      </w:r>
      <w:r>
        <w:rPr>
          <w:rFonts w:ascii="Times New Roman" w:hAnsi="Times New Roman" w:eastAsia="仿宋_GB2312" w:cs="Times New Roman"/>
          <w:sz w:val="32"/>
          <w:szCs w:val="32"/>
        </w:rPr>
        <w:t>坚持党的领导、部门协作、社会动员、全民参与的机制，坚持预防为主、防治结合、因地制宜、重点突出的原则，推动我市结核病防治工作高质量发展。</w:t>
      </w:r>
    </w:p>
    <w:p w14:paraId="1BD17CA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s="Times New Roman"/>
          <w:bCs/>
          <w:color w:val="000000"/>
          <w:kern w:val="0"/>
          <w:sz w:val="28"/>
          <w:szCs w:val="28"/>
        </w:rPr>
      </w:pPr>
      <w:r>
        <w:rPr>
          <w:rFonts w:ascii="Times New Roman" w:hAnsi="Times New Roman" w:eastAsia="仿宋_GB2312" w:cs="Times New Roman"/>
          <w:sz w:val="32"/>
          <w:szCs w:val="32"/>
        </w:rPr>
        <w:t>总体目标是始终将我市结核病发病率保持在全国低流行水平，患者经济负担逐步降低。具体目标见下表。</w:t>
      </w:r>
    </w:p>
    <w:p w14:paraId="2659279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bCs/>
          <w:color w:val="000000"/>
          <w:kern w:val="0"/>
          <w:sz w:val="28"/>
          <w:szCs w:val="28"/>
        </w:rPr>
      </w:pPr>
    </w:p>
    <w:p w14:paraId="60085F0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Times New Roman" w:hAnsi="Times New Roman" w:eastAsia="黑体" w:cs="Times New Roman"/>
          <w:bCs/>
          <w:color w:val="000000"/>
          <w:kern w:val="0"/>
          <w:sz w:val="28"/>
          <w:szCs w:val="28"/>
        </w:rPr>
      </w:pPr>
      <w:r>
        <w:rPr>
          <w:rFonts w:ascii="Times New Roman" w:hAnsi="Times New Roman" w:eastAsia="黑体" w:cs="Times New Roman"/>
          <w:bCs/>
          <w:color w:val="000000"/>
          <w:kern w:val="0"/>
          <w:sz w:val="28"/>
          <w:szCs w:val="28"/>
        </w:rPr>
        <w:t>规划指标一览表</w:t>
      </w:r>
    </w:p>
    <w:p w14:paraId="706E0350">
      <w:pPr>
        <w:pStyle w:val="2"/>
      </w:pPr>
    </w:p>
    <w:tbl>
      <w:tblPr>
        <w:tblStyle w:val="8"/>
        <w:tblW w:w="468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08" w:type="dxa"/>
          <w:bottom w:w="0" w:type="dxa"/>
          <w:right w:w="108" w:type="dxa"/>
        </w:tblCellMar>
      </w:tblPr>
      <w:tblGrid>
        <w:gridCol w:w="838"/>
        <w:gridCol w:w="935"/>
        <w:gridCol w:w="3506"/>
        <w:gridCol w:w="1606"/>
        <w:gridCol w:w="1611"/>
      </w:tblGrid>
      <w:tr w14:paraId="2BBF91CE">
        <w:trPr>
          <w:trHeight w:val="23" w:hRule="atLeast"/>
          <w:jc w:val="center"/>
        </w:trPr>
        <w:tc>
          <w:tcPr>
            <w:tcW w:w="1043" w:type="pct"/>
            <w:gridSpan w:val="2"/>
            <w:tcBorders>
              <w:tl2br w:val="nil"/>
              <w:tr2bl w:val="nil"/>
            </w:tcBorders>
            <w:noWrap w:val="0"/>
            <w:vAlign w:val="center"/>
          </w:tcPr>
          <w:p w14:paraId="3CA9E20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黑体" w:cs="Times New Roman"/>
                <w:bCs/>
                <w:color w:val="000000"/>
                <w:kern w:val="0"/>
                <w:sz w:val="28"/>
                <w:szCs w:val="28"/>
              </w:rPr>
            </w:pPr>
            <w:r>
              <w:rPr>
                <w:rFonts w:ascii="Times New Roman" w:hAnsi="Times New Roman" w:eastAsia="黑体" w:cs="Times New Roman"/>
                <w:bCs/>
                <w:color w:val="000000"/>
                <w:kern w:val="0"/>
                <w:sz w:val="28"/>
                <w:szCs w:val="28"/>
              </w:rPr>
              <w:t>领域</w:t>
            </w:r>
          </w:p>
        </w:tc>
        <w:tc>
          <w:tcPr>
            <w:tcW w:w="2063" w:type="pct"/>
            <w:tcBorders>
              <w:tl2br w:val="nil"/>
              <w:tr2bl w:val="nil"/>
            </w:tcBorders>
            <w:noWrap w:val="0"/>
            <w:vAlign w:val="center"/>
          </w:tcPr>
          <w:p w14:paraId="746E32D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黑体" w:cs="Times New Roman"/>
                <w:bCs/>
                <w:color w:val="000000"/>
                <w:kern w:val="0"/>
                <w:sz w:val="28"/>
                <w:szCs w:val="28"/>
              </w:rPr>
            </w:pPr>
            <w:r>
              <w:rPr>
                <w:rFonts w:ascii="Times New Roman" w:hAnsi="Times New Roman" w:eastAsia="黑体" w:cs="Times New Roman"/>
                <w:bCs/>
                <w:color w:val="000000"/>
                <w:kern w:val="0"/>
                <w:sz w:val="28"/>
                <w:szCs w:val="28"/>
              </w:rPr>
              <w:t>指标</w:t>
            </w:r>
          </w:p>
        </w:tc>
        <w:tc>
          <w:tcPr>
            <w:tcW w:w="945" w:type="pct"/>
            <w:tcBorders>
              <w:tl2br w:val="nil"/>
              <w:tr2bl w:val="nil"/>
            </w:tcBorders>
            <w:noWrap w:val="0"/>
            <w:vAlign w:val="center"/>
          </w:tcPr>
          <w:p w14:paraId="2D25B0C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黑体" w:cs="Times New Roman"/>
                <w:bCs/>
                <w:color w:val="000000"/>
                <w:kern w:val="0"/>
                <w:sz w:val="28"/>
                <w:szCs w:val="28"/>
              </w:rPr>
            </w:pPr>
            <w:r>
              <w:rPr>
                <w:rFonts w:ascii="Times New Roman" w:hAnsi="Times New Roman" w:eastAsia="黑体" w:cs="Times New Roman"/>
                <w:bCs/>
                <w:color w:val="000000"/>
                <w:kern w:val="0"/>
                <w:sz w:val="28"/>
                <w:szCs w:val="28"/>
              </w:rPr>
              <w:t>2025年</w:t>
            </w:r>
          </w:p>
        </w:tc>
        <w:tc>
          <w:tcPr>
            <w:tcW w:w="948" w:type="pct"/>
            <w:tcBorders>
              <w:tl2br w:val="nil"/>
              <w:tr2bl w:val="nil"/>
            </w:tcBorders>
            <w:noWrap w:val="0"/>
            <w:vAlign w:val="center"/>
          </w:tcPr>
          <w:p w14:paraId="669B08C8">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黑体" w:cs="Times New Roman"/>
                <w:bCs/>
                <w:color w:val="000000"/>
                <w:kern w:val="0"/>
                <w:sz w:val="28"/>
                <w:szCs w:val="28"/>
              </w:rPr>
            </w:pPr>
            <w:r>
              <w:rPr>
                <w:rFonts w:ascii="Times New Roman" w:hAnsi="Times New Roman" w:eastAsia="黑体" w:cs="Times New Roman"/>
                <w:bCs/>
                <w:color w:val="000000"/>
                <w:kern w:val="0"/>
                <w:sz w:val="28"/>
                <w:szCs w:val="28"/>
              </w:rPr>
              <w:t>2030年</w:t>
            </w:r>
          </w:p>
        </w:tc>
      </w:tr>
      <w:tr w14:paraId="61782FEB">
        <w:trPr>
          <w:trHeight w:val="23" w:hRule="atLeast"/>
          <w:jc w:val="center"/>
        </w:trPr>
        <w:tc>
          <w:tcPr>
            <w:tcW w:w="493" w:type="pct"/>
            <w:tcBorders>
              <w:tl2br w:val="nil"/>
              <w:tr2bl w:val="nil"/>
            </w:tcBorders>
            <w:noWrap w:val="0"/>
            <w:vAlign w:val="center"/>
          </w:tcPr>
          <w:p w14:paraId="166E093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总体目标</w:t>
            </w:r>
          </w:p>
        </w:tc>
        <w:tc>
          <w:tcPr>
            <w:tcW w:w="549" w:type="pct"/>
            <w:tcBorders>
              <w:tl2br w:val="nil"/>
              <w:tr2bl w:val="nil"/>
            </w:tcBorders>
            <w:noWrap w:val="0"/>
            <w:vAlign w:val="center"/>
          </w:tcPr>
          <w:p w14:paraId="1689A62A">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核心指标</w:t>
            </w:r>
          </w:p>
        </w:tc>
        <w:tc>
          <w:tcPr>
            <w:tcW w:w="2063" w:type="pct"/>
            <w:tcBorders>
              <w:tl2br w:val="nil"/>
              <w:tr2bl w:val="nil"/>
            </w:tcBorders>
            <w:noWrap w:val="0"/>
            <w:vAlign w:val="center"/>
          </w:tcPr>
          <w:p w14:paraId="0C2482F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kern w:val="0"/>
                <w:sz w:val="28"/>
                <w:szCs w:val="28"/>
              </w:rPr>
              <w:t>结核病发病率</w:t>
            </w:r>
          </w:p>
        </w:tc>
        <w:tc>
          <w:tcPr>
            <w:tcW w:w="945" w:type="pct"/>
            <w:tcBorders>
              <w:tl2br w:val="nil"/>
              <w:tr2bl w:val="nil"/>
            </w:tcBorders>
            <w:noWrap w:val="0"/>
            <w:vAlign w:val="center"/>
          </w:tcPr>
          <w:p w14:paraId="6EC6CEF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＜25/10万</w:t>
            </w:r>
          </w:p>
        </w:tc>
        <w:tc>
          <w:tcPr>
            <w:tcW w:w="948" w:type="pct"/>
            <w:tcBorders>
              <w:tl2br w:val="nil"/>
              <w:tr2bl w:val="nil"/>
            </w:tcBorders>
            <w:noWrap w:val="0"/>
            <w:vAlign w:val="center"/>
          </w:tcPr>
          <w:p w14:paraId="3D5311D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＜18/10万</w:t>
            </w:r>
          </w:p>
        </w:tc>
      </w:tr>
      <w:tr w14:paraId="2BE89237">
        <w:trPr>
          <w:trHeight w:val="23" w:hRule="atLeast"/>
          <w:jc w:val="center"/>
        </w:trPr>
        <w:tc>
          <w:tcPr>
            <w:tcW w:w="493" w:type="pct"/>
            <w:vMerge w:val="restart"/>
            <w:tcBorders>
              <w:tl2br w:val="nil"/>
              <w:tr2bl w:val="nil"/>
            </w:tcBorders>
            <w:noWrap w:val="0"/>
            <w:vAlign w:val="center"/>
          </w:tcPr>
          <w:p w14:paraId="49732048">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p w14:paraId="4D69D7C8">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p w14:paraId="762F2F7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p w14:paraId="6B01AC5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p w14:paraId="072E5FE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p w14:paraId="39016184">
            <w:pPr>
              <w:keepNext w:val="0"/>
              <w:keepLines w:val="0"/>
              <w:pageBreakBefore w:val="0"/>
              <w:widowControl/>
              <w:kinsoku/>
              <w:wordWrap/>
              <w:overflowPunct/>
              <w:topLinePunct w:val="0"/>
              <w:autoSpaceDE/>
              <w:autoSpaceDN/>
              <w:bidi w:val="0"/>
              <w:adjustRightInd/>
              <w:snapToGrid/>
              <w:spacing w:line="420" w:lineRule="exact"/>
              <w:jc w:val="both"/>
              <w:textAlignment w:val="auto"/>
              <w:rPr>
                <w:rFonts w:ascii="Times New Roman" w:hAnsi="Times New Roman" w:eastAsia="仿宋_GB2312" w:cs="Times New Roman"/>
                <w:color w:val="000000"/>
                <w:kern w:val="0"/>
                <w:sz w:val="28"/>
                <w:szCs w:val="28"/>
              </w:rPr>
            </w:pPr>
          </w:p>
          <w:p w14:paraId="414496F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p w14:paraId="3F765E8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p w14:paraId="3741A93A">
            <w:pPr>
              <w:keepNext w:val="0"/>
              <w:keepLines w:val="0"/>
              <w:pageBreakBefore w:val="0"/>
              <w:widowControl/>
              <w:kinsoku/>
              <w:wordWrap/>
              <w:overflowPunct/>
              <w:topLinePunct w:val="0"/>
              <w:autoSpaceDE/>
              <w:autoSpaceDN/>
              <w:bidi w:val="0"/>
              <w:adjustRightInd/>
              <w:snapToGrid/>
              <w:spacing w:line="420" w:lineRule="exact"/>
              <w:jc w:val="center"/>
              <w:textAlignment w:val="auto"/>
            </w:pPr>
            <w:r>
              <w:rPr>
                <w:rFonts w:ascii="Times New Roman" w:hAnsi="Times New Roman" w:eastAsia="仿宋_GB2312" w:cs="Times New Roman"/>
                <w:color w:val="000000"/>
                <w:kern w:val="0"/>
                <w:sz w:val="28"/>
                <w:szCs w:val="28"/>
              </w:rPr>
              <w:t>工作指标</w:t>
            </w:r>
          </w:p>
        </w:tc>
        <w:tc>
          <w:tcPr>
            <w:tcW w:w="549" w:type="pct"/>
            <w:vMerge w:val="restart"/>
            <w:tcBorders>
              <w:tl2br w:val="nil"/>
              <w:tr2bl w:val="nil"/>
            </w:tcBorders>
            <w:noWrap w:val="0"/>
            <w:vAlign w:val="center"/>
          </w:tcPr>
          <w:p w14:paraId="0D0D2CB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患者发现</w:t>
            </w:r>
          </w:p>
        </w:tc>
        <w:tc>
          <w:tcPr>
            <w:tcW w:w="2063" w:type="pct"/>
            <w:tcBorders>
              <w:tl2br w:val="nil"/>
              <w:tr2bl w:val="nil"/>
            </w:tcBorders>
            <w:noWrap w:val="0"/>
            <w:vAlign w:val="center"/>
          </w:tcPr>
          <w:p w14:paraId="494E3FC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bookmarkStart w:id="0" w:name="OLE_LINK2"/>
            <w:bookmarkStart w:id="1" w:name="OLE_LINK1"/>
            <w:r>
              <w:rPr>
                <w:rFonts w:ascii="Times New Roman" w:hAnsi="Times New Roman" w:eastAsia="仿宋_GB2312" w:cs="Times New Roman"/>
                <w:color w:val="000000"/>
                <w:kern w:val="0"/>
                <w:sz w:val="28"/>
                <w:szCs w:val="28"/>
              </w:rPr>
              <w:t>肺结核患者密切接触者</w:t>
            </w:r>
          </w:p>
          <w:p w14:paraId="001BBF3B">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结核病检查率</w:t>
            </w:r>
            <w:bookmarkEnd w:id="0"/>
            <w:bookmarkEnd w:id="1"/>
          </w:p>
        </w:tc>
        <w:tc>
          <w:tcPr>
            <w:tcW w:w="945" w:type="pct"/>
            <w:tcBorders>
              <w:tl2br w:val="nil"/>
              <w:tr2bl w:val="nil"/>
            </w:tcBorders>
            <w:noWrap w:val="0"/>
            <w:vAlign w:val="center"/>
          </w:tcPr>
          <w:p w14:paraId="6E26D648">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≥80%</w:t>
            </w:r>
          </w:p>
        </w:tc>
        <w:tc>
          <w:tcPr>
            <w:tcW w:w="948" w:type="pct"/>
            <w:tcBorders>
              <w:tl2br w:val="nil"/>
              <w:tr2bl w:val="nil"/>
            </w:tcBorders>
            <w:noWrap w:val="0"/>
            <w:vAlign w:val="center"/>
          </w:tcPr>
          <w:p w14:paraId="19B89BC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≥90%</w:t>
            </w:r>
          </w:p>
        </w:tc>
      </w:tr>
      <w:tr w14:paraId="7F689C9E">
        <w:trPr>
          <w:trHeight w:val="23" w:hRule="atLeast"/>
          <w:jc w:val="center"/>
        </w:trPr>
        <w:tc>
          <w:tcPr>
            <w:tcW w:w="493" w:type="pct"/>
            <w:vMerge w:val="continue"/>
            <w:tcBorders>
              <w:tl2br w:val="nil"/>
              <w:tr2bl w:val="nil"/>
            </w:tcBorders>
            <w:noWrap w:val="0"/>
            <w:vAlign w:val="center"/>
          </w:tcPr>
          <w:p w14:paraId="422F3C9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tc>
        <w:tc>
          <w:tcPr>
            <w:tcW w:w="549" w:type="pct"/>
            <w:vMerge w:val="continue"/>
            <w:tcBorders>
              <w:tl2br w:val="nil"/>
              <w:tr2bl w:val="nil"/>
            </w:tcBorders>
            <w:noWrap w:val="0"/>
            <w:vAlign w:val="center"/>
          </w:tcPr>
          <w:p w14:paraId="147D8D2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tc>
        <w:tc>
          <w:tcPr>
            <w:tcW w:w="2063" w:type="pct"/>
            <w:tcBorders>
              <w:tl2br w:val="nil"/>
              <w:tr2bl w:val="nil"/>
            </w:tcBorders>
            <w:noWrap w:val="0"/>
            <w:vAlign w:val="center"/>
          </w:tcPr>
          <w:p w14:paraId="2B1E1ED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肺结核患者中的</w:t>
            </w:r>
          </w:p>
          <w:p w14:paraId="0C47867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病原学阳性率</w:t>
            </w:r>
            <w:r>
              <w:rPr>
                <w:rFonts w:ascii="Times New Roman" w:hAnsi="Times New Roman" w:eastAsia="仿宋_GB2312" w:cs="Times New Roman"/>
                <w:color w:val="000000"/>
                <w:kern w:val="0"/>
                <w:sz w:val="28"/>
                <w:szCs w:val="28"/>
                <w:vertAlign w:val="superscript"/>
              </w:rPr>
              <w:t>*</w:t>
            </w:r>
          </w:p>
        </w:tc>
        <w:tc>
          <w:tcPr>
            <w:tcW w:w="945" w:type="pct"/>
            <w:tcBorders>
              <w:tl2br w:val="nil"/>
              <w:tr2bl w:val="nil"/>
            </w:tcBorders>
            <w:noWrap w:val="0"/>
            <w:vAlign w:val="center"/>
          </w:tcPr>
          <w:p w14:paraId="1E1BD09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w:t>
            </w:r>
            <w:r>
              <w:rPr>
                <w:rFonts w:ascii="Times New Roman" w:hAnsi="Times New Roman" w:eastAsia="仿宋_GB2312" w:cs="Times New Roman"/>
                <w:kern w:val="0"/>
                <w:sz w:val="28"/>
                <w:szCs w:val="28"/>
                <w:lang w:val="en"/>
              </w:rPr>
              <w:t>65</w:t>
            </w:r>
            <w:r>
              <w:rPr>
                <w:rFonts w:ascii="Times New Roman" w:hAnsi="Times New Roman" w:eastAsia="仿宋_GB2312" w:cs="Times New Roman"/>
                <w:kern w:val="0"/>
                <w:sz w:val="28"/>
                <w:szCs w:val="28"/>
              </w:rPr>
              <w:t>%</w:t>
            </w:r>
          </w:p>
        </w:tc>
        <w:tc>
          <w:tcPr>
            <w:tcW w:w="948" w:type="pct"/>
            <w:tcBorders>
              <w:tl2br w:val="nil"/>
              <w:tr2bl w:val="nil"/>
            </w:tcBorders>
            <w:noWrap w:val="0"/>
            <w:vAlign w:val="center"/>
          </w:tcPr>
          <w:p w14:paraId="54CF303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kern w:val="0"/>
                <w:sz w:val="28"/>
                <w:szCs w:val="28"/>
              </w:rPr>
            </w:pPr>
            <w:r>
              <w:rPr>
                <w:rFonts w:ascii="Times New Roman" w:hAnsi="Times New Roman" w:eastAsia="仿宋_GB2312" w:cs="Times New Roman"/>
                <w:kern w:val="0"/>
                <w:sz w:val="28"/>
                <w:szCs w:val="28"/>
              </w:rPr>
              <w:t>≥7</w:t>
            </w:r>
            <w:r>
              <w:rPr>
                <w:rFonts w:ascii="Times New Roman" w:hAnsi="Times New Roman" w:eastAsia="仿宋_GB2312" w:cs="Times New Roman"/>
                <w:kern w:val="0"/>
                <w:sz w:val="28"/>
                <w:szCs w:val="28"/>
                <w:lang w:val="en"/>
              </w:rPr>
              <w:t>0</w:t>
            </w:r>
            <w:r>
              <w:rPr>
                <w:rFonts w:ascii="Times New Roman" w:hAnsi="Times New Roman" w:eastAsia="仿宋_GB2312" w:cs="Times New Roman"/>
                <w:kern w:val="0"/>
                <w:sz w:val="28"/>
                <w:szCs w:val="28"/>
              </w:rPr>
              <w:t>%</w:t>
            </w:r>
          </w:p>
        </w:tc>
      </w:tr>
      <w:tr w14:paraId="447AB490">
        <w:trPr>
          <w:trHeight w:val="23" w:hRule="atLeast"/>
          <w:jc w:val="center"/>
        </w:trPr>
        <w:tc>
          <w:tcPr>
            <w:tcW w:w="493" w:type="pct"/>
            <w:vMerge w:val="continue"/>
            <w:tcBorders>
              <w:tl2br w:val="nil"/>
              <w:tr2bl w:val="nil"/>
            </w:tcBorders>
            <w:noWrap w:val="0"/>
            <w:vAlign w:val="center"/>
          </w:tcPr>
          <w:p w14:paraId="39E6A8D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tc>
        <w:tc>
          <w:tcPr>
            <w:tcW w:w="549" w:type="pct"/>
            <w:vMerge w:val="continue"/>
            <w:tcBorders>
              <w:tl2br w:val="nil"/>
              <w:tr2bl w:val="nil"/>
            </w:tcBorders>
            <w:noWrap w:val="0"/>
            <w:vAlign w:val="center"/>
          </w:tcPr>
          <w:p w14:paraId="5D091BA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tc>
        <w:tc>
          <w:tcPr>
            <w:tcW w:w="2063" w:type="pct"/>
            <w:tcBorders>
              <w:tl2br w:val="nil"/>
              <w:tr2bl w:val="nil"/>
            </w:tcBorders>
            <w:noWrap w:val="0"/>
            <w:vAlign w:val="center"/>
          </w:tcPr>
          <w:p w14:paraId="2FA7892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病原学阳性肺结核患者</w:t>
            </w:r>
          </w:p>
          <w:p w14:paraId="2C0F477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耐药检测率</w:t>
            </w:r>
          </w:p>
        </w:tc>
        <w:tc>
          <w:tcPr>
            <w:tcW w:w="945" w:type="pct"/>
            <w:tcBorders>
              <w:tl2br w:val="nil"/>
              <w:tr2bl w:val="nil"/>
            </w:tcBorders>
            <w:noWrap w:val="0"/>
            <w:vAlign w:val="center"/>
          </w:tcPr>
          <w:p w14:paraId="2C35081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≥90%</w:t>
            </w:r>
          </w:p>
        </w:tc>
        <w:tc>
          <w:tcPr>
            <w:tcW w:w="948" w:type="pct"/>
            <w:tcBorders>
              <w:tl2br w:val="nil"/>
              <w:tr2bl w:val="nil"/>
            </w:tcBorders>
            <w:noWrap w:val="0"/>
            <w:vAlign w:val="center"/>
          </w:tcPr>
          <w:p w14:paraId="7D3D58D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≥95%</w:t>
            </w:r>
          </w:p>
        </w:tc>
      </w:tr>
      <w:tr w14:paraId="288DFA0C">
        <w:trPr>
          <w:trHeight w:val="23" w:hRule="atLeast"/>
          <w:jc w:val="center"/>
        </w:trPr>
        <w:tc>
          <w:tcPr>
            <w:tcW w:w="493" w:type="pct"/>
            <w:vMerge w:val="continue"/>
            <w:tcBorders>
              <w:tl2br w:val="nil"/>
              <w:tr2bl w:val="nil"/>
            </w:tcBorders>
            <w:noWrap w:val="0"/>
            <w:vAlign w:val="center"/>
          </w:tcPr>
          <w:p w14:paraId="0EC1243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tc>
        <w:tc>
          <w:tcPr>
            <w:tcW w:w="549" w:type="pct"/>
            <w:vMerge w:val="restart"/>
            <w:tcBorders>
              <w:tl2br w:val="nil"/>
              <w:tr2bl w:val="nil"/>
            </w:tcBorders>
            <w:noWrap w:val="0"/>
            <w:vAlign w:val="center"/>
          </w:tcPr>
          <w:p w14:paraId="70AB824B">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患者</w:t>
            </w:r>
          </w:p>
          <w:p w14:paraId="7139917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治疗管理</w:t>
            </w:r>
          </w:p>
        </w:tc>
        <w:tc>
          <w:tcPr>
            <w:tcW w:w="2063" w:type="pct"/>
            <w:tcBorders>
              <w:tl2br w:val="nil"/>
              <w:tr2bl w:val="nil"/>
            </w:tcBorders>
            <w:noWrap w:val="0"/>
            <w:vAlign w:val="center"/>
          </w:tcPr>
          <w:p w14:paraId="15E5D9C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肺结核患者标准化</w:t>
            </w:r>
          </w:p>
          <w:p w14:paraId="7148E78B">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治疗方案使用率</w:t>
            </w:r>
          </w:p>
        </w:tc>
        <w:tc>
          <w:tcPr>
            <w:tcW w:w="945" w:type="pct"/>
            <w:tcBorders>
              <w:tl2br w:val="nil"/>
              <w:tr2bl w:val="nil"/>
            </w:tcBorders>
            <w:noWrap w:val="0"/>
            <w:vAlign w:val="center"/>
          </w:tcPr>
          <w:p w14:paraId="48919FCA">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≥85%</w:t>
            </w:r>
          </w:p>
        </w:tc>
        <w:tc>
          <w:tcPr>
            <w:tcW w:w="948" w:type="pct"/>
            <w:tcBorders>
              <w:tl2br w:val="nil"/>
              <w:tr2bl w:val="nil"/>
            </w:tcBorders>
            <w:noWrap w:val="0"/>
            <w:vAlign w:val="center"/>
          </w:tcPr>
          <w:p w14:paraId="042A1EDA">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lang w:val="en"/>
              </w:rPr>
            </w:pPr>
            <w:r>
              <w:rPr>
                <w:rFonts w:ascii="Times New Roman" w:hAnsi="Times New Roman" w:eastAsia="仿宋_GB2312" w:cs="Times New Roman"/>
                <w:color w:val="000000"/>
                <w:kern w:val="0"/>
                <w:sz w:val="28"/>
                <w:szCs w:val="28"/>
              </w:rPr>
              <w:t>≥90%</w:t>
            </w:r>
            <w:r>
              <w:rPr>
                <w:rFonts w:ascii="Times New Roman" w:hAnsi="Times New Roman" w:eastAsia="仿宋_GB2312" w:cs="Times New Roman"/>
                <w:color w:val="000000"/>
                <w:kern w:val="0"/>
                <w:sz w:val="28"/>
                <w:szCs w:val="28"/>
                <w:lang w:val="en"/>
              </w:rPr>
              <w:t xml:space="preserve">  </w:t>
            </w:r>
          </w:p>
        </w:tc>
      </w:tr>
      <w:tr w14:paraId="66C0CDDD">
        <w:trPr>
          <w:trHeight w:val="23" w:hRule="atLeast"/>
          <w:jc w:val="center"/>
        </w:trPr>
        <w:tc>
          <w:tcPr>
            <w:tcW w:w="493" w:type="pct"/>
            <w:vMerge w:val="continue"/>
            <w:tcBorders>
              <w:tl2br w:val="nil"/>
              <w:tr2bl w:val="nil"/>
            </w:tcBorders>
            <w:noWrap w:val="0"/>
            <w:vAlign w:val="center"/>
          </w:tcPr>
          <w:p w14:paraId="01374B5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tc>
        <w:tc>
          <w:tcPr>
            <w:tcW w:w="549" w:type="pct"/>
            <w:vMerge w:val="continue"/>
            <w:tcBorders>
              <w:tl2br w:val="nil"/>
              <w:tr2bl w:val="nil"/>
            </w:tcBorders>
            <w:noWrap w:val="0"/>
            <w:vAlign w:val="center"/>
          </w:tcPr>
          <w:p w14:paraId="3DC1A89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tc>
        <w:tc>
          <w:tcPr>
            <w:tcW w:w="2063" w:type="pct"/>
            <w:tcBorders>
              <w:tl2br w:val="nil"/>
              <w:tr2bl w:val="nil"/>
            </w:tcBorders>
            <w:noWrap w:val="0"/>
            <w:vAlign w:val="center"/>
          </w:tcPr>
          <w:p w14:paraId="56F4F02B">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利福平敏感肺结核患者</w:t>
            </w:r>
          </w:p>
          <w:p w14:paraId="7D66D93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固定剂量复合制剂使用率</w:t>
            </w:r>
          </w:p>
        </w:tc>
        <w:tc>
          <w:tcPr>
            <w:tcW w:w="945" w:type="pct"/>
            <w:tcBorders>
              <w:tl2br w:val="nil"/>
              <w:tr2bl w:val="nil"/>
            </w:tcBorders>
            <w:noWrap w:val="0"/>
            <w:vAlign w:val="center"/>
          </w:tcPr>
          <w:p w14:paraId="5AA1B9D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≥65%</w:t>
            </w:r>
          </w:p>
        </w:tc>
        <w:tc>
          <w:tcPr>
            <w:tcW w:w="948" w:type="pct"/>
            <w:tcBorders>
              <w:tl2br w:val="nil"/>
              <w:tr2bl w:val="nil"/>
            </w:tcBorders>
            <w:noWrap w:val="0"/>
            <w:vAlign w:val="center"/>
          </w:tcPr>
          <w:p w14:paraId="34A658C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≥70%</w:t>
            </w:r>
          </w:p>
        </w:tc>
      </w:tr>
      <w:tr w14:paraId="2B196500">
        <w:trPr>
          <w:trHeight w:val="23" w:hRule="atLeast"/>
          <w:jc w:val="center"/>
        </w:trPr>
        <w:tc>
          <w:tcPr>
            <w:tcW w:w="493" w:type="pct"/>
            <w:vMerge w:val="continue"/>
            <w:tcBorders>
              <w:tl2br w:val="nil"/>
              <w:tr2bl w:val="nil"/>
            </w:tcBorders>
            <w:noWrap w:val="0"/>
            <w:vAlign w:val="center"/>
          </w:tcPr>
          <w:p w14:paraId="4B5882C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tc>
        <w:tc>
          <w:tcPr>
            <w:tcW w:w="549" w:type="pct"/>
            <w:vMerge w:val="continue"/>
            <w:tcBorders>
              <w:tl2br w:val="nil"/>
              <w:tr2bl w:val="nil"/>
            </w:tcBorders>
            <w:noWrap w:val="0"/>
            <w:vAlign w:val="center"/>
          </w:tcPr>
          <w:p w14:paraId="326895B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tc>
        <w:tc>
          <w:tcPr>
            <w:tcW w:w="2063" w:type="pct"/>
            <w:tcBorders>
              <w:tl2br w:val="nil"/>
              <w:tr2bl w:val="nil"/>
            </w:tcBorders>
            <w:noWrap w:val="0"/>
            <w:vAlign w:val="center"/>
          </w:tcPr>
          <w:p w14:paraId="7A9D712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肺结核患者规范管理率</w:t>
            </w:r>
          </w:p>
        </w:tc>
        <w:tc>
          <w:tcPr>
            <w:tcW w:w="945" w:type="pct"/>
            <w:tcBorders>
              <w:tl2br w:val="nil"/>
              <w:tr2bl w:val="nil"/>
            </w:tcBorders>
            <w:noWrap w:val="0"/>
            <w:vAlign w:val="center"/>
          </w:tcPr>
          <w:p w14:paraId="592629F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≥90%</w:t>
            </w:r>
          </w:p>
        </w:tc>
        <w:tc>
          <w:tcPr>
            <w:tcW w:w="948" w:type="pct"/>
            <w:tcBorders>
              <w:tl2br w:val="nil"/>
              <w:tr2bl w:val="nil"/>
            </w:tcBorders>
            <w:noWrap w:val="0"/>
            <w:vAlign w:val="center"/>
          </w:tcPr>
          <w:p w14:paraId="5A4A329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≥90%</w:t>
            </w:r>
          </w:p>
        </w:tc>
      </w:tr>
      <w:tr w14:paraId="0B0093EE">
        <w:trPr>
          <w:trHeight w:val="23" w:hRule="atLeast"/>
          <w:jc w:val="center"/>
        </w:trPr>
        <w:tc>
          <w:tcPr>
            <w:tcW w:w="493" w:type="pct"/>
            <w:vMerge w:val="continue"/>
            <w:tcBorders>
              <w:tl2br w:val="nil"/>
              <w:tr2bl w:val="nil"/>
            </w:tcBorders>
            <w:noWrap w:val="0"/>
            <w:vAlign w:val="center"/>
          </w:tcPr>
          <w:p w14:paraId="5AC8D0B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tc>
        <w:tc>
          <w:tcPr>
            <w:tcW w:w="549" w:type="pct"/>
            <w:vMerge w:val="continue"/>
            <w:tcBorders>
              <w:tl2br w:val="nil"/>
              <w:tr2bl w:val="nil"/>
            </w:tcBorders>
            <w:noWrap w:val="0"/>
            <w:vAlign w:val="center"/>
          </w:tcPr>
          <w:p w14:paraId="6390CBC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tc>
        <w:tc>
          <w:tcPr>
            <w:tcW w:w="2063" w:type="pct"/>
            <w:tcBorders>
              <w:tl2br w:val="nil"/>
              <w:tr2bl w:val="nil"/>
            </w:tcBorders>
            <w:noWrap w:val="0"/>
            <w:vAlign w:val="center"/>
          </w:tcPr>
          <w:p w14:paraId="47BEE31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肺结核患者成功治疗率</w:t>
            </w:r>
          </w:p>
        </w:tc>
        <w:tc>
          <w:tcPr>
            <w:tcW w:w="945" w:type="pct"/>
            <w:tcBorders>
              <w:tl2br w:val="nil"/>
              <w:tr2bl w:val="nil"/>
            </w:tcBorders>
            <w:noWrap w:val="0"/>
            <w:vAlign w:val="center"/>
          </w:tcPr>
          <w:p w14:paraId="3F541DE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≥90%</w:t>
            </w:r>
          </w:p>
        </w:tc>
        <w:tc>
          <w:tcPr>
            <w:tcW w:w="948" w:type="pct"/>
            <w:tcBorders>
              <w:tl2br w:val="nil"/>
              <w:tr2bl w:val="nil"/>
            </w:tcBorders>
            <w:noWrap w:val="0"/>
            <w:vAlign w:val="center"/>
          </w:tcPr>
          <w:p w14:paraId="6ABF4747">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≥90%</w:t>
            </w:r>
          </w:p>
        </w:tc>
      </w:tr>
      <w:tr w14:paraId="5B3A9699">
        <w:trPr>
          <w:trHeight w:val="312" w:hRule="atLeast"/>
          <w:jc w:val="center"/>
        </w:trPr>
        <w:tc>
          <w:tcPr>
            <w:tcW w:w="493" w:type="pct"/>
            <w:vMerge w:val="continue"/>
            <w:tcBorders>
              <w:tl2br w:val="nil"/>
              <w:tr2bl w:val="nil"/>
            </w:tcBorders>
            <w:noWrap w:val="0"/>
            <w:vAlign w:val="center"/>
          </w:tcPr>
          <w:p w14:paraId="11A5D41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tc>
        <w:tc>
          <w:tcPr>
            <w:tcW w:w="549" w:type="pct"/>
            <w:vMerge w:val="restart"/>
            <w:tcBorders>
              <w:tl2br w:val="nil"/>
              <w:tr2bl w:val="nil"/>
            </w:tcBorders>
            <w:noWrap w:val="0"/>
            <w:vAlign w:val="center"/>
          </w:tcPr>
          <w:p w14:paraId="2151934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预防性</w:t>
            </w:r>
          </w:p>
          <w:p w14:paraId="46E31FF3">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干预</w:t>
            </w:r>
          </w:p>
        </w:tc>
        <w:tc>
          <w:tcPr>
            <w:tcW w:w="2063" w:type="pct"/>
            <w:vMerge w:val="restart"/>
            <w:tcBorders>
              <w:tl2br w:val="nil"/>
              <w:tr2bl w:val="nil"/>
            </w:tcBorders>
            <w:noWrap w:val="0"/>
            <w:vAlign w:val="center"/>
          </w:tcPr>
          <w:p w14:paraId="47B57DB4">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肺结核患者密切接触者中</w:t>
            </w:r>
          </w:p>
          <w:p w14:paraId="4331D76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潜伏感染者预防性治疗率</w:t>
            </w:r>
          </w:p>
        </w:tc>
        <w:tc>
          <w:tcPr>
            <w:tcW w:w="945" w:type="pct"/>
            <w:vMerge w:val="restart"/>
            <w:tcBorders>
              <w:tl2br w:val="nil"/>
              <w:tr2bl w:val="nil"/>
            </w:tcBorders>
            <w:noWrap w:val="0"/>
            <w:vAlign w:val="center"/>
          </w:tcPr>
          <w:p w14:paraId="2C49AB4F">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≥60%</w:t>
            </w:r>
          </w:p>
        </w:tc>
        <w:tc>
          <w:tcPr>
            <w:tcW w:w="948" w:type="pct"/>
            <w:vMerge w:val="restart"/>
            <w:tcBorders>
              <w:tl2br w:val="nil"/>
              <w:tr2bl w:val="nil"/>
            </w:tcBorders>
            <w:noWrap w:val="0"/>
            <w:vAlign w:val="center"/>
          </w:tcPr>
          <w:p w14:paraId="32B56040">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≥80%</w:t>
            </w:r>
          </w:p>
        </w:tc>
      </w:tr>
      <w:tr w14:paraId="5C55FBDD">
        <w:trPr>
          <w:trHeight w:val="312" w:hRule="atLeast"/>
          <w:jc w:val="center"/>
        </w:trPr>
        <w:tc>
          <w:tcPr>
            <w:tcW w:w="493" w:type="pct"/>
            <w:vMerge w:val="continue"/>
            <w:tcBorders>
              <w:tl2br w:val="nil"/>
              <w:tr2bl w:val="nil"/>
            </w:tcBorders>
            <w:noWrap w:val="0"/>
            <w:vAlign w:val="center"/>
          </w:tcPr>
          <w:p w14:paraId="5249104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tc>
        <w:tc>
          <w:tcPr>
            <w:tcW w:w="549" w:type="pct"/>
            <w:vMerge w:val="continue"/>
            <w:tcBorders>
              <w:tl2br w:val="nil"/>
              <w:tr2bl w:val="nil"/>
            </w:tcBorders>
            <w:noWrap w:val="0"/>
            <w:vAlign w:val="center"/>
          </w:tcPr>
          <w:p w14:paraId="5AF37D4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tc>
        <w:tc>
          <w:tcPr>
            <w:tcW w:w="2063" w:type="pct"/>
            <w:vMerge w:val="continue"/>
            <w:tcBorders>
              <w:tl2br w:val="nil"/>
              <w:tr2bl w:val="nil"/>
            </w:tcBorders>
            <w:noWrap w:val="0"/>
            <w:vAlign w:val="center"/>
          </w:tcPr>
          <w:p w14:paraId="7F4785CD">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tc>
        <w:tc>
          <w:tcPr>
            <w:tcW w:w="945" w:type="pct"/>
            <w:vMerge w:val="continue"/>
            <w:tcBorders>
              <w:tl2br w:val="nil"/>
              <w:tr2bl w:val="nil"/>
            </w:tcBorders>
            <w:noWrap w:val="0"/>
            <w:vAlign w:val="center"/>
          </w:tcPr>
          <w:p w14:paraId="2CF383EE">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tc>
        <w:tc>
          <w:tcPr>
            <w:tcW w:w="948" w:type="pct"/>
            <w:vMerge w:val="continue"/>
            <w:tcBorders>
              <w:tl2br w:val="nil"/>
              <w:tr2bl w:val="nil"/>
            </w:tcBorders>
            <w:noWrap w:val="0"/>
            <w:vAlign w:val="center"/>
          </w:tcPr>
          <w:p w14:paraId="6368F65C">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tc>
      </w:tr>
      <w:tr w14:paraId="08009B75">
        <w:trPr>
          <w:trHeight w:val="312" w:hRule="atLeast"/>
          <w:jc w:val="center"/>
        </w:trPr>
        <w:tc>
          <w:tcPr>
            <w:tcW w:w="493" w:type="pct"/>
            <w:vMerge w:val="continue"/>
            <w:tcBorders>
              <w:tl2br w:val="nil"/>
              <w:tr2bl w:val="nil"/>
            </w:tcBorders>
            <w:noWrap w:val="0"/>
            <w:vAlign w:val="center"/>
          </w:tcPr>
          <w:p w14:paraId="1671EE75">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p>
        </w:tc>
        <w:tc>
          <w:tcPr>
            <w:tcW w:w="549" w:type="pct"/>
            <w:vMerge w:val="restart"/>
            <w:tcBorders>
              <w:tl2br w:val="nil"/>
              <w:tr2bl w:val="nil"/>
            </w:tcBorders>
            <w:noWrap w:val="0"/>
            <w:vAlign w:val="center"/>
          </w:tcPr>
          <w:p w14:paraId="7EB7974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健康素养</w:t>
            </w:r>
          </w:p>
        </w:tc>
        <w:tc>
          <w:tcPr>
            <w:tcW w:w="2063" w:type="pct"/>
            <w:vMerge w:val="restart"/>
            <w:tcBorders>
              <w:tl2br w:val="nil"/>
              <w:tr2bl w:val="nil"/>
            </w:tcBorders>
            <w:noWrap w:val="0"/>
            <w:vAlign w:val="center"/>
          </w:tcPr>
          <w:p w14:paraId="7C3D847A">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公众结核病防治</w:t>
            </w:r>
          </w:p>
          <w:p w14:paraId="22B0451B">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核心知识知晓率</w:t>
            </w:r>
          </w:p>
        </w:tc>
        <w:tc>
          <w:tcPr>
            <w:tcW w:w="945" w:type="pct"/>
            <w:vMerge w:val="restart"/>
            <w:tcBorders>
              <w:tl2br w:val="nil"/>
              <w:tr2bl w:val="nil"/>
            </w:tcBorders>
            <w:noWrap w:val="0"/>
            <w:vAlign w:val="center"/>
          </w:tcPr>
          <w:p w14:paraId="324AC266">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≥85%</w:t>
            </w:r>
          </w:p>
        </w:tc>
        <w:tc>
          <w:tcPr>
            <w:tcW w:w="948" w:type="pct"/>
            <w:vMerge w:val="restart"/>
            <w:tcBorders>
              <w:tl2br w:val="nil"/>
              <w:tr2bl w:val="nil"/>
            </w:tcBorders>
            <w:noWrap w:val="0"/>
            <w:vAlign w:val="center"/>
          </w:tcPr>
          <w:p w14:paraId="473641A2">
            <w:pPr>
              <w:keepNext w:val="0"/>
              <w:keepLines w:val="0"/>
              <w:pageBreakBefore w:val="0"/>
              <w:widowControl/>
              <w:kinsoku/>
              <w:wordWrap/>
              <w:overflowPunct/>
              <w:topLinePunct w:val="0"/>
              <w:autoSpaceDE/>
              <w:autoSpaceDN/>
              <w:bidi w:val="0"/>
              <w:adjustRightInd/>
              <w:snapToGrid/>
              <w:spacing w:line="420" w:lineRule="exact"/>
              <w:jc w:val="center"/>
              <w:textAlignment w:val="auto"/>
              <w:rPr>
                <w:rFonts w:ascii="Times New Roman" w:hAnsi="Times New Roman" w:eastAsia="仿宋_GB2312" w:cs="Times New Roman"/>
                <w:color w:val="000000"/>
                <w:kern w:val="0"/>
                <w:sz w:val="28"/>
                <w:szCs w:val="28"/>
              </w:rPr>
            </w:pPr>
            <w:r>
              <w:rPr>
                <w:rFonts w:ascii="Times New Roman" w:hAnsi="Times New Roman" w:eastAsia="仿宋_GB2312" w:cs="Times New Roman"/>
                <w:color w:val="000000"/>
                <w:kern w:val="0"/>
                <w:sz w:val="28"/>
                <w:szCs w:val="28"/>
              </w:rPr>
              <w:t>≥85%</w:t>
            </w:r>
          </w:p>
        </w:tc>
      </w:tr>
      <w:tr w14:paraId="04657FDC">
        <w:trPr>
          <w:trHeight w:val="312" w:hRule="atLeast"/>
          <w:jc w:val="center"/>
        </w:trPr>
        <w:tc>
          <w:tcPr>
            <w:tcW w:w="493" w:type="pct"/>
            <w:vMerge w:val="continue"/>
            <w:tcBorders>
              <w:tl2br w:val="nil"/>
              <w:tr2bl w:val="nil"/>
            </w:tcBorders>
            <w:noWrap w:val="0"/>
            <w:vAlign w:val="center"/>
          </w:tcPr>
          <w:p w14:paraId="4645BB48">
            <w:pPr>
              <w:widowControl/>
              <w:spacing w:line="420" w:lineRule="exact"/>
              <w:jc w:val="center"/>
              <w:rPr>
                <w:rFonts w:ascii="Times New Roman" w:hAnsi="Times New Roman" w:eastAsia="仿宋_GB2312" w:cs="Times New Roman"/>
                <w:color w:val="000000"/>
                <w:kern w:val="0"/>
                <w:sz w:val="28"/>
                <w:szCs w:val="28"/>
              </w:rPr>
            </w:pPr>
          </w:p>
        </w:tc>
        <w:tc>
          <w:tcPr>
            <w:tcW w:w="549" w:type="pct"/>
            <w:vMerge w:val="continue"/>
            <w:tcBorders>
              <w:tl2br w:val="nil"/>
              <w:tr2bl w:val="nil"/>
            </w:tcBorders>
            <w:noWrap w:val="0"/>
            <w:vAlign w:val="center"/>
          </w:tcPr>
          <w:p w14:paraId="4891AC6E">
            <w:pPr>
              <w:widowControl/>
              <w:spacing w:line="420" w:lineRule="exact"/>
              <w:jc w:val="center"/>
              <w:rPr>
                <w:rFonts w:ascii="Times New Roman" w:hAnsi="Times New Roman" w:eastAsia="仿宋_GB2312" w:cs="Times New Roman"/>
                <w:color w:val="000000"/>
                <w:kern w:val="0"/>
                <w:sz w:val="28"/>
                <w:szCs w:val="28"/>
              </w:rPr>
            </w:pPr>
          </w:p>
        </w:tc>
        <w:tc>
          <w:tcPr>
            <w:tcW w:w="2063" w:type="pct"/>
            <w:vMerge w:val="continue"/>
            <w:tcBorders>
              <w:tl2br w:val="nil"/>
              <w:tr2bl w:val="nil"/>
            </w:tcBorders>
            <w:noWrap w:val="0"/>
            <w:vAlign w:val="center"/>
          </w:tcPr>
          <w:p w14:paraId="51240FE6">
            <w:pPr>
              <w:widowControl/>
              <w:spacing w:line="420" w:lineRule="exact"/>
              <w:jc w:val="center"/>
              <w:rPr>
                <w:rFonts w:ascii="Times New Roman" w:hAnsi="Times New Roman" w:eastAsia="仿宋_GB2312" w:cs="Times New Roman"/>
                <w:color w:val="000000"/>
                <w:kern w:val="0"/>
                <w:sz w:val="28"/>
                <w:szCs w:val="28"/>
              </w:rPr>
            </w:pPr>
          </w:p>
        </w:tc>
        <w:tc>
          <w:tcPr>
            <w:tcW w:w="945" w:type="pct"/>
            <w:vMerge w:val="continue"/>
            <w:tcBorders>
              <w:tl2br w:val="nil"/>
              <w:tr2bl w:val="nil"/>
            </w:tcBorders>
            <w:noWrap w:val="0"/>
            <w:vAlign w:val="center"/>
          </w:tcPr>
          <w:p w14:paraId="0CD11B0D">
            <w:pPr>
              <w:widowControl/>
              <w:spacing w:line="420" w:lineRule="exact"/>
              <w:jc w:val="center"/>
              <w:rPr>
                <w:rFonts w:ascii="Times New Roman" w:hAnsi="Times New Roman" w:eastAsia="仿宋_GB2312" w:cs="Times New Roman"/>
                <w:color w:val="000000"/>
                <w:kern w:val="0"/>
                <w:sz w:val="28"/>
                <w:szCs w:val="28"/>
              </w:rPr>
            </w:pPr>
          </w:p>
        </w:tc>
        <w:tc>
          <w:tcPr>
            <w:tcW w:w="948" w:type="pct"/>
            <w:vMerge w:val="continue"/>
            <w:tcBorders>
              <w:tl2br w:val="nil"/>
              <w:tr2bl w:val="nil"/>
            </w:tcBorders>
            <w:noWrap w:val="0"/>
            <w:vAlign w:val="center"/>
          </w:tcPr>
          <w:p w14:paraId="22B6CAE0">
            <w:pPr>
              <w:widowControl/>
              <w:spacing w:line="420" w:lineRule="exact"/>
              <w:jc w:val="center"/>
              <w:rPr>
                <w:rFonts w:ascii="Times New Roman" w:hAnsi="Times New Roman" w:eastAsia="仿宋_GB2312" w:cs="Times New Roman"/>
                <w:color w:val="000000"/>
                <w:kern w:val="0"/>
                <w:sz w:val="28"/>
                <w:szCs w:val="28"/>
              </w:rPr>
            </w:pPr>
          </w:p>
        </w:tc>
      </w:tr>
    </w:tbl>
    <w:p w14:paraId="2EE03B01">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ascii="Times New Roman" w:hAnsi="Times New Roman" w:eastAsia="仿宋_GB2312" w:cs="Times New Roman"/>
          <w:sz w:val="28"/>
          <w:szCs w:val="28"/>
        </w:rPr>
      </w:pPr>
    </w:p>
    <w:p w14:paraId="361ED5FC">
      <w:pPr>
        <w:keepNext w:val="0"/>
        <w:keepLines w:val="0"/>
        <w:pageBreakBefore w:val="0"/>
        <w:kinsoku/>
        <w:wordWrap/>
        <w:overflowPunct/>
        <w:topLinePunct w:val="0"/>
        <w:autoSpaceDE/>
        <w:autoSpaceDN/>
        <w:bidi w:val="0"/>
        <w:adjustRightInd/>
        <w:snapToGrid/>
        <w:spacing w:line="420" w:lineRule="exact"/>
        <w:ind w:firstLine="560" w:firstLineChars="200"/>
        <w:textAlignment w:val="auto"/>
        <w:rPr>
          <w:rFonts w:ascii="Times New Roman" w:hAnsi="Times New Roman" w:eastAsia="仿宋_GB2312" w:cs="Times New Roman"/>
          <w:sz w:val="28"/>
          <w:szCs w:val="28"/>
        </w:rPr>
      </w:pPr>
      <w:r>
        <w:rPr>
          <w:rFonts w:ascii="Times New Roman" w:hAnsi="Times New Roman" w:eastAsia="仿宋_GB2312" w:cs="Times New Roman"/>
          <w:sz w:val="28"/>
          <w:szCs w:val="28"/>
        </w:rPr>
        <w:t>*是指患者中通过病原学检测确诊的比例，此指标可用于评价结核病诊断的精准性，提高诊断效率和质量。</w:t>
      </w:r>
    </w:p>
    <w:p w14:paraId="1E49238D">
      <w:pPr>
        <w:pStyle w:val="2"/>
      </w:pPr>
    </w:p>
    <w:p w14:paraId="28B25C57">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二、防治措施</w:t>
      </w:r>
    </w:p>
    <w:p w14:paraId="53D9788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sz w:val="32"/>
          <w:szCs w:val="32"/>
        </w:rPr>
      </w:pPr>
      <w:bookmarkStart w:id="2" w:name="OLE_LINK5"/>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一</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健全防治体系建设，强化支撑保障能力</w:t>
      </w:r>
    </w:p>
    <w:p w14:paraId="0958CEE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深化</w:t>
      </w:r>
      <w:r>
        <w:rPr>
          <w:rFonts w:ascii="Times New Roman" w:hAnsi="Times New Roman" w:eastAsia="仿宋_GB2312" w:cs="Times New Roman"/>
          <w:sz w:val="32"/>
          <w:szCs w:val="32"/>
        </w:rPr>
        <w:t xml:space="preserve"> “四位一体” 协同体系。</w:t>
      </w:r>
      <w:r>
        <w:rPr>
          <w:rFonts w:hint="eastAsia" w:ascii="Times New Roman" w:hAnsi="Times New Roman" w:eastAsia="仿宋_GB2312" w:cs="Times New Roman"/>
          <w:sz w:val="32"/>
          <w:szCs w:val="32"/>
        </w:rPr>
        <w:t>继续推</w:t>
      </w:r>
      <w:r>
        <w:rPr>
          <w:rFonts w:hint="eastAsia" w:ascii="Times New Roman" w:hAnsi="Times New Roman" w:eastAsia="仿宋_GB2312" w:cs="Times New Roman"/>
          <w:sz w:val="32"/>
          <w:szCs w:val="32"/>
          <w:lang w:eastAsia="zh-CN"/>
        </w:rPr>
        <w:t>进</w:t>
      </w:r>
      <w:r>
        <w:rPr>
          <w:rFonts w:ascii="Times New Roman" w:hAnsi="Times New Roman" w:eastAsia="仿宋_GB2312" w:cs="Times New Roman"/>
          <w:sz w:val="32"/>
          <w:szCs w:val="32"/>
        </w:rPr>
        <w:t>疾控机构、非定点医疗机构、定点医疗机构、基层医疗卫生机构“四位一体”结核病防控体系，明确和夯实各机构结核病防控责任，促进医防融合与协同。加强市区两级结核病定点医疗机构诊疗联动、分级诊疗，提升结核病诊疗服务质量。优化我市结核病定点医疗机构设置，加强规范化建设。</w:t>
      </w:r>
    </w:p>
    <w:p w14:paraId="4BF8204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eastAsia" w:ascii="Times New Roman" w:hAnsi="Times New Roman" w:eastAsia="仿宋_GB2312" w:cs="Times New Roman"/>
          <w:sz w:val="32"/>
          <w:szCs w:val="32"/>
        </w:rPr>
        <w:t>.构建肺外结核防治</w:t>
      </w:r>
      <w:r>
        <w:rPr>
          <w:rFonts w:hint="eastAsia" w:ascii="Times New Roman" w:hAnsi="Times New Roman" w:eastAsia="仿宋_GB2312" w:cs="Times New Roman"/>
          <w:sz w:val="32"/>
          <w:szCs w:val="32"/>
          <w:lang w:eastAsia="zh-CN"/>
        </w:rPr>
        <w:t>网络</w:t>
      </w:r>
      <w:r>
        <w:rPr>
          <w:rFonts w:hint="eastAsia" w:ascii="Times New Roman" w:hAnsi="Times New Roman" w:eastAsia="仿宋_GB2312" w:cs="Times New Roman"/>
          <w:sz w:val="32"/>
          <w:szCs w:val="32"/>
        </w:rPr>
        <w:t>。完善肺外结核病报告登记制度，开展肺外结核病防治试点工作，稳步推进肺外结核病患者抗结核治疗工作，探索肺外结核病患者治疗管理模式。</w:t>
      </w:r>
    </w:p>
    <w:p w14:paraId="6CCC8AB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3</w:t>
      </w:r>
      <w:r>
        <w:rPr>
          <w:rFonts w:hint="eastAsia" w:ascii="Times New Roman" w:hAnsi="Times New Roman" w:eastAsia="仿宋_GB2312" w:cs="Times New Roman"/>
          <w:sz w:val="32"/>
          <w:szCs w:val="32"/>
        </w:rPr>
        <w:t>.推广人工智能应用。基于传染病智能监测预警前置软件构建肺结核智能识别及预警机制，提升患者早期诊断效能。探索运用人工智能等新兴技术优化服务流程，深化定点与非定点医疗机构诊疗协作联动，赋能结核病防治体系建设。</w:t>
      </w:r>
    </w:p>
    <w:p w14:paraId="6464FB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4</w:t>
      </w:r>
      <w:r>
        <w:rPr>
          <w:rFonts w:hint="eastAsia" w:ascii="Times New Roman" w:hAnsi="Times New Roman" w:eastAsia="仿宋_GB2312" w:cs="Times New Roman"/>
          <w:sz w:val="32"/>
          <w:szCs w:val="32"/>
        </w:rPr>
        <w:t>.加强</w:t>
      </w:r>
      <w:r>
        <w:rPr>
          <w:rFonts w:hint="eastAsia" w:ascii="Times New Roman" w:hAnsi="Times New Roman" w:eastAsia="仿宋_GB2312" w:cs="Times New Roman"/>
          <w:sz w:val="32"/>
          <w:szCs w:val="32"/>
          <w:lang w:eastAsia="zh-CN"/>
        </w:rPr>
        <w:t>人员队伍建设</w:t>
      </w:r>
      <w:r>
        <w:rPr>
          <w:rFonts w:hint="eastAsia" w:ascii="Times New Roman" w:hAnsi="Times New Roman" w:eastAsia="仿宋_GB2312" w:cs="Times New Roman"/>
          <w:sz w:val="32"/>
          <w:szCs w:val="32"/>
        </w:rPr>
        <w:t>。强化各级疾控、定点医疗机构结核病防治人员队伍建设，保障其薪资待遇和职业发展。鼓励和支持防治能力提升、学术研究和创新，积极参与国内外交流合作。</w:t>
      </w:r>
    </w:p>
    <w:p w14:paraId="33392F0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二</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精准推进早期发现，拓宽筛查覆盖范围</w:t>
      </w:r>
    </w:p>
    <w:p w14:paraId="3D0E30F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强化高风险人群精准筛查</w:t>
      </w:r>
      <w:r>
        <w:rPr>
          <w:rFonts w:ascii="Times New Roman" w:hAnsi="Times New Roman" w:eastAsia="仿宋_GB2312" w:cs="Times New Roman"/>
          <w:sz w:val="32"/>
          <w:szCs w:val="32"/>
        </w:rPr>
        <w:t>。对活动性肺结核患者开展流行病学调查，对其密切接触者开展结核潜伏感染检测和结核病检查。艾滋病病毒感染者、停药2年内的既往结核病患者、长期使用免疫抑制剂者、65岁及以上人群和糖尿病患者开展结核病筛查。新确诊糖尿病患者应及时开展一次结核病检查。</w:t>
      </w:r>
    </w:p>
    <w:p w14:paraId="4A5B29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规范</w:t>
      </w:r>
      <w:r>
        <w:rPr>
          <w:rFonts w:ascii="Times New Roman" w:hAnsi="Times New Roman" w:eastAsia="仿宋_GB2312" w:cs="Times New Roman"/>
          <w:sz w:val="32"/>
          <w:szCs w:val="32"/>
        </w:rPr>
        <w:t>监管人群主动发现与管理。在监管人群中开展主动、被动相结合的结核病患者发现，推行监管场所内督导化疗，强化患者诊断、治疗和管理信息的上报与利用，完善治疗中离监患者返回社区继续治疗管理的衔接机制，推动结核潜伏感染检测和干预。</w:t>
      </w:r>
    </w:p>
    <w:p w14:paraId="7C86F63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7</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深化重点场所结核病筛查防控</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加强</w:t>
      </w:r>
      <w:r>
        <w:rPr>
          <w:rFonts w:ascii="Times New Roman" w:hAnsi="Times New Roman" w:eastAsia="仿宋_GB2312" w:cs="Times New Roman"/>
          <w:sz w:val="32"/>
          <w:szCs w:val="32"/>
        </w:rPr>
        <w:t>学校新生、教职工体检，在重点学段、高疫情地区来津生源中开展结核病</w:t>
      </w:r>
      <w:r>
        <w:rPr>
          <w:rFonts w:hint="eastAsia" w:ascii="Times New Roman" w:hAnsi="Times New Roman" w:eastAsia="仿宋_GB2312" w:cs="Times New Roman"/>
          <w:sz w:val="32"/>
          <w:szCs w:val="32"/>
        </w:rPr>
        <w:t>检</w:t>
      </w:r>
      <w:r>
        <w:rPr>
          <w:rFonts w:ascii="Times New Roman" w:hAnsi="Times New Roman" w:eastAsia="仿宋_GB2312" w:cs="Times New Roman"/>
          <w:sz w:val="32"/>
          <w:szCs w:val="32"/>
        </w:rPr>
        <w:t>查</w:t>
      </w:r>
      <w:r>
        <w:rPr>
          <w:rFonts w:hint="eastAsia" w:ascii="Times New Roman" w:hAnsi="Times New Roman" w:eastAsia="仿宋_GB2312" w:cs="Times New Roman"/>
          <w:sz w:val="32"/>
          <w:szCs w:val="32"/>
        </w:rPr>
        <w:t>，</w:t>
      </w:r>
      <w:bookmarkStart w:id="3" w:name="OLE_LINK4"/>
      <w:bookmarkStart w:id="4" w:name="OLE_LINK3"/>
      <w:r>
        <w:rPr>
          <w:rFonts w:hint="eastAsia" w:ascii="Times New Roman" w:hAnsi="Times New Roman" w:eastAsia="仿宋_GB2312" w:cs="Times New Roman"/>
          <w:sz w:val="32"/>
          <w:szCs w:val="32"/>
        </w:rPr>
        <w:t>深化“无结核校园”试点工作成效</w:t>
      </w:r>
      <w:bookmarkEnd w:id="3"/>
      <w:bookmarkEnd w:id="4"/>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探索将结核病检查</w:t>
      </w:r>
      <w:r>
        <w:rPr>
          <w:rFonts w:hint="eastAsia" w:ascii="Times New Roman" w:hAnsi="Times New Roman" w:eastAsia="仿宋_GB2312" w:cs="Times New Roman"/>
          <w:sz w:val="32"/>
          <w:szCs w:val="32"/>
        </w:rPr>
        <w:t>纳入</w:t>
      </w:r>
      <w:r>
        <w:rPr>
          <w:rFonts w:ascii="Times New Roman" w:hAnsi="Times New Roman" w:eastAsia="仿宋_GB2312" w:cs="Times New Roman"/>
          <w:sz w:val="32"/>
          <w:szCs w:val="32"/>
        </w:rPr>
        <w:t>精神病医院和救助保护机构新入院（入职）检查</w:t>
      </w:r>
      <w:r>
        <w:rPr>
          <w:rFonts w:hint="eastAsia" w:ascii="Times New Roman" w:hAnsi="Times New Roman" w:eastAsia="仿宋_GB2312" w:cs="Times New Roman"/>
          <w:sz w:val="32"/>
          <w:szCs w:val="32"/>
        </w:rPr>
        <w:t>和定期检查</w:t>
      </w:r>
      <w:r>
        <w:rPr>
          <w:rFonts w:ascii="Times New Roman" w:hAnsi="Times New Roman" w:eastAsia="仿宋_GB2312" w:cs="Times New Roman"/>
          <w:sz w:val="32"/>
          <w:szCs w:val="32"/>
        </w:rPr>
        <w:t>的</w:t>
      </w:r>
      <w:r>
        <w:rPr>
          <w:rFonts w:hint="eastAsia" w:ascii="Times New Roman" w:hAnsi="Times New Roman" w:eastAsia="仿宋_GB2312" w:cs="Times New Roman"/>
          <w:sz w:val="32"/>
          <w:szCs w:val="32"/>
        </w:rPr>
        <w:t>内容</w:t>
      </w:r>
      <w:r>
        <w:rPr>
          <w:rFonts w:ascii="Times New Roman" w:hAnsi="Times New Roman" w:eastAsia="仿宋_GB2312" w:cs="Times New Roman"/>
          <w:sz w:val="32"/>
          <w:szCs w:val="32"/>
        </w:rPr>
        <w:t>，优化养老机构和社会福利机构中的结核病检查措施。</w:t>
      </w:r>
    </w:p>
    <w:p w14:paraId="60A1C44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8</w:t>
      </w:r>
      <w:r>
        <w:rPr>
          <w:rFonts w:hint="eastAsia" w:ascii="Times New Roman" w:hAnsi="Times New Roman" w:eastAsia="仿宋_GB2312" w:cs="Times New Roman"/>
          <w:sz w:val="32"/>
          <w:szCs w:val="32"/>
        </w:rPr>
        <w:t>.聚焦多元群体筛查与社区防控</w:t>
      </w:r>
      <w:r>
        <w:rPr>
          <w:rFonts w:ascii="Times New Roman" w:hAnsi="Times New Roman" w:eastAsia="仿宋_GB2312" w:cs="Times New Roman"/>
          <w:sz w:val="32"/>
          <w:szCs w:val="32"/>
        </w:rPr>
        <w:t>。加强</w:t>
      </w:r>
      <w:r>
        <w:rPr>
          <w:rFonts w:hint="eastAsia" w:ascii="Times New Roman" w:hAnsi="Times New Roman" w:eastAsia="仿宋_GB2312" w:cs="Times New Roman"/>
          <w:sz w:val="32"/>
          <w:szCs w:val="32"/>
        </w:rPr>
        <w:t>社区、企业等</w:t>
      </w:r>
      <w:r>
        <w:rPr>
          <w:rFonts w:ascii="Times New Roman" w:hAnsi="Times New Roman" w:eastAsia="仿宋_GB2312" w:cs="Times New Roman"/>
          <w:sz w:val="32"/>
          <w:szCs w:val="32"/>
        </w:rPr>
        <w:t>人口流动</w:t>
      </w:r>
      <w:r>
        <w:rPr>
          <w:rFonts w:hint="eastAsia" w:ascii="Times New Roman" w:hAnsi="Times New Roman" w:eastAsia="仿宋_GB2312" w:cs="Times New Roman"/>
          <w:sz w:val="32"/>
          <w:szCs w:val="32"/>
        </w:rPr>
        <w:t>频繁且人员密集</w:t>
      </w:r>
      <w:r>
        <w:rPr>
          <w:rFonts w:ascii="Times New Roman" w:hAnsi="Times New Roman" w:eastAsia="仿宋_GB2312" w:cs="Times New Roman"/>
          <w:sz w:val="32"/>
          <w:szCs w:val="32"/>
        </w:rPr>
        <w:t>场所</w:t>
      </w:r>
      <w:r>
        <w:rPr>
          <w:rFonts w:hint="eastAsia" w:ascii="Times New Roman" w:hAnsi="Times New Roman" w:eastAsia="仿宋_GB2312" w:cs="Times New Roman"/>
          <w:sz w:val="32"/>
          <w:szCs w:val="32"/>
        </w:rPr>
        <w:t>的</w:t>
      </w:r>
      <w:r>
        <w:rPr>
          <w:rFonts w:ascii="Times New Roman" w:hAnsi="Times New Roman" w:eastAsia="仿宋_GB2312" w:cs="Times New Roman"/>
          <w:sz w:val="32"/>
          <w:szCs w:val="32"/>
        </w:rPr>
        <w:t>结核病防控，积极推广使用便捷有效的筛查技术，提高结核病主动筛查效率，</w:t>
      </w:r>
      <w:r>
        <w:rPr>
          <w:rFonts w:hint="eastAsia" w:ascii="Times New Roman" w:hAnsi="Times New Roman" w:eastAsia="仿宋_GB2312" w:cs="Times New Roman"/>
          <w:sz w:val="32"/>
          <w:szCs w:val="32"/>
        </w:rPr>
        <w:t>推进“无结核社区”试点深化，强化成效落地。</w:t>
      </w:r>
      <w:r>
        <w:rPr>
          <w:rFonts w:hint="eastAsia" w:ascii="Times New Roman" w:hAnsi="Times New Roman" w:eastAsia="仿宋_GB2312" w:cs="Times New Roman"/>
          <w:sz w:val="32"/>
          <w:szCs w:val="32"/>
          <w:lang w:eastAsia="zh-CN"/>
        </w:rPr>
        <w:t>加强</w:t>
      </w:r>
      <w:r>
        <w:rPr>
          <w:rFonts w:ascii="Times New Roman" w:hAnsi="Times New Roman" w:eastAsia="仿宋_GB2312" w:cs="Times New Roman"/>
          <w:sz w:val="32"/>
          <w:szCs w:val="32"/>
        </w:rPr>
        <w:t>疾控与农业农村部门的对接机制，做好疫情信息通报。</w:t>
      </w:r>
    </w:p>
    <w:p w14:paraId="7AE37D87">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楷体_GB2312" w:cs="Times New Roman"/>
          <w:sz w:val="32"/>
          <w:szCs w:val="32"/>
          <w:lang w:eastAsia="zh-CN"/>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三</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提升诊疗管理质量，</w:t>
      </w:r>
      <w:r>
        <w:rPr>
          <w:rFonts w:hint="eastAsia" w:ascii="Times New Roman" w:hAnsi="Times New Roman" w:eastAsia="楷体_GB2312" w:cs="Times New Roman"/>
          <w:sz w:val="32"/>
          <w:szCs w:val="32"/>
          <w:lang w:eastAsia="zh-CN"/>
        </w:rPr>
        <w:t>强化全流程管理</w:t>
      </w:r>
    </w:p>
    <w:p w14:paraId="383DA4D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规范病例诊断报告</w:t>
      </w:r>
      <w:r>
        <w:rPr>
          <w:rFonts w:ascii="Times New Roman" w:hAnsi="Times New Roman" w:eastAsia="仿宋_GB2312" w:cs="Times New Roman"/>
          <w:sz w:val="32"/>
          <w:szCs w:val="32"/>
        </w:rPr>
        <w:t>。强化市区两级结核病疫情监测医院的病例早发现和报告职能</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对就诊的具有肺结核可疑症状者和发病高风险人群开展结核潜伏感染检测、胸部影像学和病原学等检查，提高诊断的及时性。对发现的</w:t>
      </w:r>
      <w:r>
        <w:rPr>
          <w:rFonts w:hint="eastAsia" w:ascii="Times New Roman" w:hAnsi="Times New Roman" w:eastAsia="仿宋_GB2312" w:cs="Times New Roman"/>
          <w:sz w:val="32"/>
          <w:szCs w:val="32"/>
        </w:rPr>
        <w:t>确诊和疑似</w:t>
      </w:r>
      <w:r>
        <w:rPr>
          <w:rFonts w:ascii="Times New Roman" w:hAnsi="Times New Roman" w:eastAsia="仿宋_GB2312" w:cs="Times New Roman"/>
          <w:sz w:val="32"/>
          <w:szCs w:val="32"/>
        </w:rPr>
        <w:t>肺结核患者及时报告、转诊和登记。</w:t>
      </w:r>
    </w:p>
    <w:p w14:paraId="32E0B1CE">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10</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优化治疗方案实施</w:t>
      </w:r>
      <w:r>
        <w:rPr>
          <w:rFonts w:ascii="Times New Roman" w:hAnsi="Times New Roman" w:eastAsia="仿宋_GB2312" w:cs="Times New Roman"/>
          <w:sz w:val="32"/>
          <w:szCs w:val="32"/>
        </w:rPr>
        <w:t>。提高利福平敏感肺结核患者初始标准化治疗方案、固定剂量复合制剂使用率。落实传染性肺结核患者的规范隔离治疗。完善结核病会诊、病案讨论制度，落实病原学阴性肺结核诊断小组定诊流程，提升诊疗质量。严格落实结核病防治工作技术规范和指南等要求。</w:t>
      </w:r>
    </w:p>
    <w:p w14:paraId="5BF6590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11</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完善全程管理机制</w:t>
      </w:r>
      <w:r>
        <w:rPr>
          <w:rFonts w:ascii="Times New Roman" w:hAnsi="Times New Roman" w:eastAsia="仿宋_GB2312" w:cs="Times New Roman"/>
          <w:sz w:val="32"/>
          <w:szCs w:val="32"/>
        </w:rPr>
        <w:t>。为结核病患者提供覆盖筛查、诊治和随访的全程管理服务</w:t>
      </w:r>
      <w:r>
        <w:rPr>
          <w:rFonts w:hint="eastAsia" w:ascii="Times New Roman" w:hAnsi="Times New Roman" w:eastAsia="仿宋_GB2312" w:cs="Times New Roman"/>
          <w:sz w:val="32"/>
          <w:szCs w:val="32"/>
          <w:lang w:eastAsia="zh-CN"/>
        </w:rPr>
        <w:t>，推动结核病防治纳入省统筹区域传染病监测与应急指挥信息平台建设，充分发挥信息化支撑作用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结合国家基本公共卫生服务项目和家庭医生签约服务，各基层医疗卫生机构利用智能化服药管理系统，对辖区肺结核患者进行规范的督导管理，提高患者服药依从性。</w:t>
      </w:r>
    </w:p>
    <w:p w14:paraId="01E34F73">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四</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聚焦耐药结核防治，提升精准应对能力</w:t>
      </w:r>
    </w:p>
    <w:p w14:paraId="6623AB7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2</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完善耐药筛查</w:t>
      </w:r>
      <w:r>
        <w:rPr>
          <w:rFonts w:hint="eastAsia" w:ascii="Times New Roman" w:hAnsi="Times New Roman" w:eastAsia="仿宋_GB2312" w:cs="Times New Roman"/>
          <w:sz w:val="32"/>
          <w:szCs w:val="32"/>
          <w:lang w:eastAsia="zh-CN"/>
        </w:rPr>
        <w:t>机制</w:t>
      </w:r>
      <w:r>
        <w:rPr>
          <w:rFonts w:ascii="Times New Roman" w:hAnsi="Times New Roman" w:eastAsia="仿宋_GB2312" w:cs="Times New Roman"/>
          <w:sz w:val="32"/>
          <w:szCs w:val="32"/>
        </w:rPr>
        <w:t>。市区两级结核病定点医疗机构开展分子生物学耐药检测和痰结核分枝杆菌培养，阳性菌株按市级结核参比实验室要求开展耐药监测。市级结核病定点医疗机构开展菌型鉴定和表型药敏试验，逐步推行二线抗结核药品分子生物学耐药检测。市级结核参比实验室开展各级结核病定点医疗机构实验室质量控制及技术指导。</w:t>
      </w:r>
    </w:p>
    <w:p w14:paraId="6D5D5DB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3</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规范耐药治疗管理</w:t>
      </w:r>
      <w:r>
        <w:rPr>
          <w:rFonts w:ascii="Times New Roman" w:hAnsi="Times New Roman" w:eastAsia="仿宋_GB2312" w:cs="Times New Roman"/>
          <w:sz w:val="32"/>
          <w:szCs w:val="32"/>
        </w:rPr>
        <w:t>。市级定点医疗机构对利福平耐药患者统一收治，落实耐药结核病诊疗专家组会诊制度，规范、合理制定治疗方案，推行短程口服治疗方案。强化利福平耐药患者传染期规范隔离和分类治疗，减少传播。</w:t>
      </w:r>
    </w:p>
    <w:p w14:paraId="5021B3C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lang w:eastAsia="zh-CN"/>
        </w:rPr>
        <w:t>五</w:t>
      </w:r>
      <w:r>
        <w:rPr>
          <w:rFonts w:ascii="Times New Roman" w:hAnsi="Times New Roman" w:eastAsia="楷体_GB2312" w:cs="Times New Roman"/>
          <w:sz w:val="32"/>
          <w:szCs w:val="32"/>
        </w:rPr>
        <w:t>）</w:t>
      </w:r>
      <w:r>
        <w:rPr>
          <w:rFonts w:hint="eastAsia" w:ascii="Times New Roman" w:hAnsi="Times New Roman" w:eastAsia="楷体_GB2312" w:cs="Times New Roman"/>
          <w:sz w:val="32"/>
          <w:szCs w:val="32"/>
        </w:rPr>
        <w:t>强化预防干预举措，降低疫情传播风险</w:t>
      </w:r>
    </w:p>
    <w:p w14:paraId="41254826">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14</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落实卡介苗规范接种</w:t>
      </w:r>
      <w:r>
        <w:rPr>
          <w:rFonts w:ascii="Times New Roman" w:hAnsi="Times New Roman" w:eastAsia="仿宋_GB2312" w:cs="Times New Roman"/>
          <w:sz w:val="32"/>
          <w:szCs w:val="32"/>
        </w:rPr>
        <w:t>。为适龄儿童提供卡介苗接种服务，确保接种覆盖率。加强对接种质量的监管，确保疫苗接种的安全性和有效性。</w:t>
      </w:r>
    </w:p>
    <w:p w14:paraId="3E00925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15</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严格感染控制管理</w:t>
      </w:r>
      <w:r>
        <w:rPr>
          <w:rFonts w:ascii="Times New Roman" w:hAnsi="Times New Roman" w:eastAsia="仿宋_GB2312" w:cs="Times New Roman"/>
          <w:sz w:val="32"/>
          <w:szCs w:val="32"/>
        </w:rPr>
        <w:t>。明确定点医疗机构医务人员和患者的感染控制要求，门诊和病房分区诊治利福平敏感和耐药肺结核患者。规范实施传染性肺结核患者停工停课和复工复课制度。履行督导服药的医务人员要对居家治疗的肺结核患者进行家庭环境感染风险评估，指导患者及家属做好家庭内感染控制。强化个人防护，教育引导科学佩戴口罩等。</w:t>
      </w:r>
    </w:p>
    <w:p w14:paraId="0B1E19E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eastAsia" w:ascii="Times New Roman" w:hAnsi="Times New Roman" w:eastAsia="仿宋_GB2312" w:cs="Times New Roman"/>
          <w:sz w:val="32"/>
          <w:szCs w:val="32"/>
          <w:lang w:val="en-US" w:eastAsia="zh-CN"/>
        </w:rPr>
        <w:t>6</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推进潜伏感染干预</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在</w:t>
      </w:r>
      <w:r>
        <w:rPr>
          <w:rFonts w:ascii="Times New Roman" w:hAnsi="Times New Roman" w:eastAsia="仿宋_GB2312" w:cs="Times New Roman"/>
          <w:sz w:val="32"/>
          <w:szCs w:val="32"/>
        </w:rPr>
        <w:t>市区两级结核病定点医疗机构开设预防性治疗门诊，</w:t>
      </w:r>
      <w:r>
        <w:rPr>
          <w:rFonts w:hint="eastAsia" w:ascii="Times New Roman" w:hAnsi="Times New Roman" w:eastAsia="仿宋_GB2312" w:cs="Times New Roman"/>
          <w:sz w:val="32"/>
          <w:szCs w:val="32"/>
        </w:rPr>
        <w:t>通过</w:t>
      </w:r>
      <w:r>
        <w:rPr>
          <w:rFonts w:ascii="Times New Roman" w:hAnsi="Times New Roman" w:eastAsia="仿宋_GB2312" w:cs="Times New Roman"/>
          <w:sz w:val="32"/>
          <w:szCs w:val="32"/>
        </w:rPr>
        <w:t>开展结核潜伏感染检测，动员潜伏感染者开展预防性治疗，并及时向属地疾控、基层医疗卫生机构反馈诊疗、随访信息。基层医疗卫生机构落实辖区内预防性治疗者督导服药管理。</w:t>
      </w:r>
    </w:p>
    <w:p w14:paraId="7A763DF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（六）</w:t>
      </w:r>
      <w:r>
        <w:rPr>
          <w:rFonts w:hint="eastAsia" w:ascii="Times New Roman" w:hAnsi="Times New Roman" w:eastAsia="楷体_GB2312" w:cs="Times New Roman"/>
          <w:sz w:val="32"/>
          <w:szCs w:val="32"/>
        </w:rPr>
        <w:t>加强患者关怀救助，减轻疾病负担</w:t>
      </w:r>
    </w:p>
    <w:p w14:paraId="7B27005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17</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降低</w:t>
      </w:r>
      <w:r>
        <w:rPr>
          <w:rFonts w:hint="eastAsia" w:ascii="Times New Roman" w:hAnsi="Times New Roman" w:eastAsia="仿宋_GB2312" w:cs="Times New Roman"/>
          <w:sz w:val="32"/>
          <w:szCs w:val="32"/>
          <w:lang w:eastAsia="zh-CN"/>
        </w:rPr>
        <w:t>患者经济负担</w:t>
      </w:r>
      <w:r>
        <w:rPr>
          <w:rFonts w:ascii="Times New Roman" w:hAnsi="Times New Roman" w:eastAsia="仿宋_GB2312" w:cs="Times New Roman"/>
          <w:sz w:val="32"/>
          <w:szCs w:val="32"/>
        </w:rPr>
        <w:t>。按规定将符合条件的药品纳入基本医疗保险支付范围。适时调整基本医疗保险门诊、住院特殊病种支付限额，对治疗、预防结核病的药物不纳入药占比范畴。通过落实国家医保药品谈判结果和推动集采工作，引导抗结核药品价格保持在合理水平。</w:t>
      </w:r>
    </w:p>
    <w:p w14:paraId="6D4EA74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18</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强化综合关怀服务</w:t>
      </w:r>
      <w:r>
        <w:rPr>
          <w:rFonts w:ascii="Times New Roman" w:hAnsi="Times New Roman" w:eastAsia="仿宋_GB2312" w:cs="Times New Roman"/>
          <w:sz w:val="32"/>
          <w:szCs w:val="32"/>
        </w:rPr>
        <w:t>。坚持全社会动员，为患者提供必要的心理和营养支持等社会关爱服务。为符合条件的结核病患者提供就医、交通、营养等救助，切实降低患者的疾病经济负担。</w:t>
      </w:r>
    </w:p>
    <w:p w14:paraId="3F3CBE1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楷体_GB2312" w:cs="Times New Roman"/>
          <w:sz w:val="32"/>
          <w:szCs w:val="32"/>
        </w:rPr>
      </w:pPr>
      <w:r>
        <w:rPr>
          <w:rFonts w:ascii="Times New Roman" w:hAnsi="Times New Roman" w:eastAsia="楷体_GB2312" w:cs="Times New Roman"/>
          <w:sz w:val="32"/>
          <w:szCs w:val="32"/>
        </w:rPr>
        <w:t>（七）</w:t>
      </w:r>
      <w:r>
        <w:rPr>
          <w:rFonts w:hint="eastAsia" w:ascii="Times New Roman" w:hAnsi="Times New Roman" w:eastAsia="楷体_GB2312" w:cs="Times New Roman"/>
          <w:sz w:val="32"/>
          <w:szCs w:val="32"/>
        </w:rPr>
        <w:t>深化社会宣传动员，营造共治良好氛围</w:t>
      </w:r>
    </w:p>
    <w:p w14:paraId="5663F09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19</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扩大宣传覆盖</w:t>
      </w:r>
      <w:r>
        <w:rPr>
          <w:rFonts w:ascii="Times New Roman" w:hAnsi="Times New Roman" w:eastAsia="仿宋_GB2312" w:cs="Times New Roman"/>
          <w:sz w:val="32"/>
          <w:szCs w:val="32"/>
        </w:rPr>
        <w:t>。充分发挥广播、电视等传统媒体和网络社交媒体的传播优势, 加大结核病防治公益宣传力度。推广“N24”宣传策略，每月覆盖不同活动主题和目标人群，提高重点人群、重点场所结核病防治知识宣传效果。</w:t>
      </w:r>
    </w:p>
    <w:p w14:paraId="0792700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20</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lang w:eastAsia="zh-CN"/>
        </w:rPr>
        <w:t>广泛社会动员</w:t>
      </w:r>
      <w:r>
        <w:rPr>
          <w:rFonts w:ascii="Times New Roman" w:hAnsi="Times New Roman" w:eastAsia="仿宋_GB2312" w:cs="Times New Roman"/>
          <w:sz w:val="32"/>
          <w:szCs w:val="32"/>
        </w:rPr>
        <w:t>。积极拓展多部门社会动员，营造全社会关注、支持和参与结核病防治的良好氛围。将每年世界防治结核病日主题宣传与常态化宣传有机结合，开展对象化、分众化、互动化的健康教育活动</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形成全社会普遍主动参与的宣传格局。</w:t>
      </w:r>
    </w:p>
    <w:p w14:paraId="43D0546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21</w:t>
      </w:r>
      <w:r>
        <w:rPr>
          <w:rFonts w:ascii="Times New Roman" w:hAnsi="Times New Roman" w:eastAsia="仿宋_GB2312" w:cs="Times New Roman"/>
          <w:sz w:val="32"/>
          <w:szCs w:val="32"/>
        </w:rPr>
        <w:t>.</w:t>
      </w:r>
      <w:r>
        <w:rPr>
          <w:rFonts w:hint="eastAsia"/>
        </w:rPr>
        <w:t xml:space="preserve"> </w:t>
      </w:r>
      <w:r>
        <w:rPr>
          <w:rFonts w:hint="eastAsia" w:ascii="Times New Roman" w:hAnsi="Times New Roman" w:eastAsia="仿宋_GB2312" w:cs="Times New Roman"/>
          <w:sz w:val="32"/>
          <w:szCs w:val="32"/>
        </w:rPr>
        <w:t>推进志愿服务行动</w:t>
      </w:r>
      <w:r>
        <w:rPr>
          <w:rFonts w:ascii="Times New Roman" w:hAnsi="Times New Roman" w:eastAsia="仿宋_GB2312" w:cs="Times New Roman"/>
          <w:sz w:val="32"/>
          <w:szCs w:val="32"/>
        </w:rPr>
        <w:t>。深入推进百千万志愿者结核病防治知识传播提升行动，发展壮大志愿队伍，强化公众“健康第一责任人”的理念，提升全民结核病防治健康素养。</w:t>
      </w:r>
      <w:bookmarkEnd w:id="2"/>
    </w:p>
    <w:p w14:paraId="5ED6D443">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三、保障与评估</w:t>
      </w:r>
    </w:p>
    <w:p w14:paraId="7AFE1E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各区要将结核病防治工作纳入经济社会发展规划和政府工作的重要内容。疾控、卫生健康部门负责协调相关部门共同推动规划实施，优化完善防治体系，提高防治能力和服务，对结核病防治工作进行监管，对规划实施情况开展监测。发展改革部门负责支持纳入相关规划的结核病防治机构建设，改善结核病防治设施条件。教育部门依法落实学校结核病防控的行业管理责任，有效落实新生入学体检结核病筛查和教职员工入职（定期）结核病检查和健康教育等措施。公安、司法行政部门负责监狱、看守所、强制隔离戒毒所等场所的结核病防治工作，落实结核病检查和治疗管理措施。财政部门按规定落实防治相关投入政策，推动提高资金使用效益。医保部门负责完善医保政策，做好结核病患者医疗保障工作。药监部门负责加强对抗结核药品的审批和质量监督，支持抗结核新药品、新试剂和新疫苗的注册，对符合条件的产品实施优先审评审批。科技、工业和信息化、民政、海关、农业农村、广电等部门要在职责范围内，做好结核病防治科技支撑、抗结核药品试剂生产供应保障、患者社会救助、社会养老和福利机构结核病防治、口岸结核病排查处置、结核病防治知识宣传等工作。发生结核病疫情时，根据疫情防控需要，各有关单位和个人提供相应支持。</w:t>
      </w:r>
    </w:p>
    <w:p w14:paraId="42C6102A">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cs="Times New Roman"/>
        </w:rPr>
      </w:pPr>
      <w:r>
        <w:rPr>
          <w:rFonts w:ascii="Times New Roman" w:hAnsi="Times New Roman" w:eastAsia="仿宋_GB2312" w:cs="Times New Roman"/>
          <w:sz w:val="32"/>
          <w:szCs w:val="32"/>
        </w:rPr>
        <w:t>各区要组织对本区结核病防治规划</w:t>
      </w:r>
      <w:r>
        <w:rPr>
          <w:rFonts w:hint="eastAsia" w:ascii="Times New Roman" w:hAnsi="Times New Roman" w:eastAsia="仿宋_GB2312" w:cs="Times New Roman"/>
          <w:sz w:val="32"/>
          <w:szCs w:val="32"/>
        </w:rPr>
        <w:t>落实</w:t>
      </w:r>
      <w:r>
        <w:rPr>
          <w:rFonts w:ascii="Times New Roman" w:hAnsi="Times New Roman" w:eastAsia="仿宋_GB2312" w:cs="Times New Roman"/>
          <w:sz w:val="32"/>
          <w:szCs w:val="32"/>
        </w:rPr>
        <w:t>情况</w:t>
      </w:r>
      <w:r>
        <w:rPr>
          <w:rFonts w:hint="eastAsia" w:ascii="Times New Roman" w:hAnsi="Times New Roman" w:eastAsia="仿宋_GB2312" w:cs="Times New Roman"/>
          <w:sz w:val="32"/>
          <w:szCs w:val="32"/>
        </w:rPr>
        <w:t>开展</w:t>
      </w:r>
      <w:r>
        <w:rPr>
          <w:rFonts w:ascii="Times New Roman" w:hAnsi="Times New Roman" w:eastAsia="仿宋_GB2312" w:cs="Times New Roman"/>
          <w:sz w:val="32"/>
          <w:szCs w:val="32"/>
        </w:rPr>
        <w:t>监测与</w:t>
      </w:r>
      <w:r>
        <w:rPr>
          <w:rFonts w:hint="eastAsia" w:ascii="Times New Roman" w:hAnsi="Times New Roman" w:eastAsia="仿宋_GB2312" w:cs="Times New Roman"/>
          <w:sz w:val="32"/>
          <w:szCs w:val="32"/>
        </w:rPr>
        <w:t>自评</w:t>
      </w:r>
      <w:r>
        <w:rPr>
          <w:rFonts w:ascii="Times New Roman" w:hAnsi="Times New Roman" w:eastAsia="仿宋_GB2312" w:cs="Times New Roman"/>
          <w:sz w:val="32"/>
          <w:szCs w:val="32"/>
        </w:rPr>
        <w:t>，发现问题及时解决，将监测评价结果和工作改进情况作为财政投入、医保支付、医疗卫生机构评审等重要依据。市疾控局要会同有关部门对规划</w:t>
      </w:r>
      <w:r>
        <w:rPr>
          <w:rFonts w:hint="eastAsia" w:ascii="Times New Roman" w:hAnsi="Times New Roman" w:eastAsia="仿宋_GB2312" w:cs="Times New Roman"/>
          <w:sz w:val="32"/>
          <w:szCs w:val="32"/>
        </w:rPr>
        <w:t>落实</w:t>
      </w:r>
      <w:r>
        <w:rPr>
          <w:rFonts w:ascii="Times New Roman" w:hAnsi="Times New Roman" w:eastAsia="仿宋_GB2312" w:cs="Times New Roman"/>
          <w:sz w:val="32"/>
          <w:szCs w:val="32"/>
        </w:rPr>
        <w:t>情况开展</w:t>
      </w:r>
      <w:r>
        <w:rPr>
          <w:rFonts w:hint="eastAsia" w:ascii="Times New Roman" w:hAnsi="Times New Roman" w:eastAsia="仿宋_GB2312" w:cs="Times New Roman"/>
          <w:sz w:val="32"/>
          <w:szCs w:val="32"/>
        </w:rPr>
        <w:t>指导推动</w:t>
      </w:r>
      <w:r>
        <w:rPr>
          <w:rFonts w:ascii="Times New Roman" w:hAnsi="Times New Roman" w:eastAsia="仿宋_GB2312" w:cs="Times New Roman"/>
          <w:sz w:val="32"/>
          <w:szCs w:val="32"/>
        </w:rPr>
        <w:t>，并</w:t>
      </w:r>
      <w:r>
        <w:rPr>
          <w:rFonts w:hint="eastAsia" w:ascii="Times New Roman" w:hAnsi="Times New Roman" w:eastAsia="仿宋_GB2312" w:cs="Times New Roman"/>
          <w:sz w:val="32"/>
          <w:szCs w:val="32"/>
        </w:rPr>
        <w:t>按照国家总体安排</w:t>
      </w:r>
      <w:r>
        <w:rPr>
          <w:rFonts w:ascii="Times New Roman" w:hAnsi="Times New Roman" w:eastAsia="仿宋_GB2312" w:cs="Times New Roman"/>
          <w:sz w:val="32"/>
          <w:szCs w:val="32"/>
        </w:rPr>
        <w:t>进行阶段性评估和终期评估。</w:t>
      </w:r>
    </w:p>
    <w:p w14:paraId="6B947163">
      <w:pPr>
        <w:pStyle w:val="2"/>
        <w:rPr>
          <w:rFonts w:ascii="Times New Roman" w:hAnsi="Times New Roman" w:cs="Times New Roman"/>
        </w:rPr>
      </w:pPr>
    </w:p>
    <w:p w14:paraId="1CDB5ACB">
      <w:pPr>
        <w:pStyle w:val="3"/>
        <w:rPr>
          <w:rFonts w:hint="default" w:ascii="Times New Roman" w:hAnsi="Times New Roman" w:eastAsia="仿宋_GB2312" w:cs="Times New Roman"/>
          <w:sz w:val="32"/>
          <w:szCs w:val="32"/>
          <w:lang w:eastAsia="zh-CN"/>
        </w:rPr>
      </w:pPr>
    </w:p>
    <w:p w14:paraId="0B8889C4">
      <w:pPr>
        <w:pStyle w:val="5"/>
        <w:rPr>
          <w:rFonts w:hint="default" w:ascii="Times New Roman" w:hAnsi="Times New Roman" w:eastAsia="仿宋_GB2312" w:cs="Times New Roman"/>
          <w:sz w:val="32"/>
          <w:szCs w:val="32"/>
          <w:lang w:val="en" w:eastAsia="zh-CN"/>
        </w:rPr>
      </w:pPr>
    </w:p>
    <w:p w14:paraId="1B13AAC4">
      <w:pPr>
        <w:pStyle w:val="3"/>
        <w:rPr>
          <w:rFonts w:hint="default" w:ascii="Times New Roman" w:hAnsi="Times New Roman" w:eastAsia="仿宋_GB2312" w:cs="Times New Roman"/>
          <w:sz w:val="32"/>
          <w:szCs w:val="32"/>
          <w:lang w:eastAsia="zh-CN"/>
        </w:rPr>
      </w:pPr>
    </w:p>
    <w:p w14:paraId="2A46BFF2">
      <w:pPr>
        <w:rPr>
          <w:rFonts w:hint="default" w:ascii="Times New Roman" w:hAnsi="Times New Roman" w:eastAsia="仿宋_GB2312" w:cs="Times New Roman"/>
          <w:sz w:val="32"/>
          <w:szCs w:val="32"/>
          <w:lang w:eastAsia="zh-CN"/>
        </w:rPr>
      </w:pPr>
    </w:p>
    <w:p w14:paraId="6FA84674">
      <w:pPr>
        <w:pStyle w:val="5"/>
        <w:rPr>
          <w:rFonts w:hint="default" w:ascii="Times New Roman" w:hAnsi="Times New Roman" w:eastAsia="仿宋_GB2312" w:cs="Times New Roman"/>
          <w:sz w:val="32"/>
          <w:szCs w:val="32"/>
          <w:lang w:eastAsia="zh-CN"/>
        </w:rPr>
      </w:pPr>
    </w:p>
    <w:p w14:paraId="5DBAC32C">
      <w:pPr>
        <w:ind w:right="-2" w:rightChars="-1" w:firstLine="320" w:firstLineChars="100"/>
        <w:rPr>
          <w:rFonts w:hint="default" w:ascii="Times New Roman" w:hAnsi="Times New Roman" w:eastAsia="仿宋_GB2312" w:cs="Times New Roman"/>
          <w:sz w:val="32"/>
          <w:szCs w:val="32"/>
          <w:lang w:eastAsia="zh-CN"/>
        </w:rPr>
      </w:pPr>
      <w:bookmarkStart w:id="5" w:name="_GoBack"/>
      <w:bookmarkEnd w:id="5"/>
    </w:p>
    <w:sectPr>
      <w:footerReference r:id="rId3" w:type="default"/>
      <w:pgSz w:w="11906" w:h="16838"/>
      <w:pgMar w:top="2098" w:right="1474" w:bottom="1984" w:left="1587" w:header="851" w:footer="1587"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SimSong">
    <w:panose1 w:val="02020300000000000000"/>
    <w:charset w:val="86"/>
    <w:family w:val="auto"/>
    <w:pitch w:val="default"/>
    <w:sig w:usb0="800002BF" w:usb1="38CF7CFA" w:usb2="00000016" w:usb3="00000000" w:csb0="0004000D"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altName w:val="汉仪书宋二KW"/>
    <w:panose1 w:val="02000000000000000000"/>
    <w:charset w:val="86"/>
    <w:family w:val="script"/>
    <w:pitch w:val="default"/>
    <w:sig w:usb0="00000000" w:usb1="00000000" w:usb2="00000012" w:usb3="00000000" w:csb0="00040001" w:csb1="00000000"/>
  </w:font>
  <w:font w:name="楷体_GB2312">
    <w:altName w:val="汉仪楷体简"/>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 w:name="仿宋_GB2312">
    <w:altName w:val="方正仿宋_GBK"/>
    <w:panose1 w:val="00000000000000000000"/>
    <w:charset w:val="00"/>
    <w:family w:val="auto"/>
    <w:pitch w:val="default"/>
    <w:sig w:usb0="00000000" w:usb1="00000000" w:usb2="00000000" w:usb3="00000000" w:csb0="00000000" w:csb1="00000000"/>
  </w:font>
  <w:font w:name="宋体-简">
    <w:panose1 w:val="02010800040101010101"/>
    <w:charset w:val="86"/>
    <w:family w:val="auto"/>
    <w:pitch w:val="default"/>
    <w:sig w:usb0="00000001" w:usb1="080F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EBBC43">
    <w:pPr>
      <w:pStyle w:val="5"/>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1905</wp:posOffset>
              </wp:positionV>
              <wp:extent cx="1828800" cy="1828800"/>
              <wp:effectExtent l="0" t="0" r="0" b="0"/>
              <wp:wrapNone/>
              <wp:docPr id="6"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F7D386A">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Style w:val="11"/>
                              <w:rFonts w:hint="eastAsia" w:ascii="宋体" w:hAnsi="宋体" w:eastAsia="宋体"/>
                              <w:sz w:val="28"/>
                              <w:szCs w:val="28"/>
                              <w:lang w:val="en-US" w:eastAsia="zh-CN"/>
                            </w:rPr>
                          </w:pPr>
                          <w:r>
                            <w:rPr>
                              <w:rStyle w:val="11"/>
                              <w:rFonts w:hint="eastAsia" w:ascii="宋体" w:hAnsi="宋体"/>
                              <w:sz w:val="28"/>
                              <w:szCs w:val="28"/>
                              <w:lang w:eastAsia="zh-CN"/>
                            </w:rPr>
                            <w:t>—</w:t>
                          </w:r>
                          <w:r>
                            <w:rPr>
                              <w:rStyle w:val="11"/>
                              <w:rFonts w:hint="eastAsia" w:ascii="宋体" w:hAnsi="宋体"/>
                              <w:sz w:val="28"/>
                              <w:szCs w:val="28"/>
                              <w:lang w:val="en-US" w:eastAsia="zh-CN"/>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- 1 -</w:t>
                          </w:r>
                          <w:r>
                            <w:rPr>
                              <w:rStyle w:val="11"/>
                              <w:rFonts w:ascii="宋体" w:hAnsi="宋体"/>
                              <w:sz w:val="28"/>
                              <w:szCs w:val="28"/>
                            </w:rPr>
                            <w:fldChar w:fldCharType="end"/>
                          </w:r>
                          <w:r>
                            <w:rPr>
                              <w:rStyle w:val="11"/>
                              <w:rFonts w:hint="eastAsia" w:ascii="宋体" w:hAnsi="宋体"/>
                              <w:sz w:val="28"/>
                              <w:szCs w:val="28"/>
                              <w:lang w:val="en-US" w:eastAsia="zh-CN"/>
                            </w:rPr>
                            <w:t xml:space="preserve"> —</w:t>
                          </w:r>
                        </w:p>
                      </w:txbxContent>
                    </wps:txbx>
                    <wps:bodyPr wrap="none" lIns="0" tIns="0" rIns="0" bIns="0" upright="0">
                      <a:spAutoFit/>
                    </wps:bodyPr>
                  </wps:wsp>
                </a:graphicData>
              </a:graphic>
            </wp:anchor>
          </w:drawing>
        </mc:Choice>
        <mc:Fallback>
          <w:pict>
            <v:shape id="文本框 1" o:spid="_x0000_s1026" o:spt="202" type="#_x0000_t202" style="position:absolute;left:0pt;margin-top:0.15pt;height:144pt;width:144pt;mso-position-horizontal:outside;mso-position-horizontal-relative:margin;mso-wrap-style:none;z-index:251659264;mso-width-relative:page;mso-height-relative:page;" filled="f" stroked="f" coordsize="21600,21600" o:gfxdata="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AHEE5A0QAAAAUBAAAPAAAAAAAAAAEAIAAAACIAAABkcnMvZG93bnJldi54&#10;bWxQSwECFAAUAAAACACHTuJAM0lCCcgBAACZAwAADgAAAAAAAAABACAAAAAgAQAAZHJzL2Uyb0Rv&#10;Yy54bWxQSwUGAAAAAAYABgBZAQAAWgUAAAAA&#10;">
              <v:fill on="f" focussize="0,0"/>
              <v:stroke on="f"/>
              <v:imagedata o:title=""/>
              <o:lock v:ext="edit" aspectratio="f"/>
              <v:textbox inset="0mm,0mm,0mm,0mm" style="mso-fit-shape-to-text:t;">
                <w:txbxContent>
                  <w:p w14:paraId="7F7D386A">
                    <w:pPr>
                      <w:pStyle w:val="5"/>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Style w:val="11"/>
                        <w:rFonts w:hint="eastAsia" w:ascii="宋体" w:hAnsi="宋体" w:eastAsia="宋体"/>
                        <w:sz w:val="28"/>
                        <w:szCs w:val="28"/>
                        <w:lang w:val="en-US" w:eastAsia="zh-CN"/>
                      </w:rPr>
                    </w:pPr>
                    <w:r>
                      <w:rPr>
                        <w:rStyle w:val="11"/>
                        <w:rFonts w:hint="eastAsia" w:ascii="宋体" w:hAnsi="宋体"/>
                        <w:sz w:val="28"/>
                        <w:szCs w:val="28"/>
                        <w:lang w:eastAsia="zh-CN"/>
                      </w:rPr>
                      <w:t>—</w:t>
                    </w:r>
                    <w:r>
                      <w:rPr>
                        <w:rStyle w:val="11"/>
                        <w:rFonts w:hint="eastAsia" w:ascii="宋体" w:hAnsi="宋体"/>
                        <w:sz w:val="28"/>
                        <w:szCs w:val="28"/>
                        <w:lang w:val="en-US" w:eastAsia="zh-CN"/>
                      </w:rPr>
                      <w:t xml:space="preserve"> </w:t>
                    </w: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- 1 -</w:t>
                    </w:r>
                    <w:r>
                      <w:rPr>
                        <w:rStyle w:val="11"/>
                        <w:rFonts w:ascii="宋体" w:hAnsi="宋体"/>
                        <w:sz w:val="28"/>
                        <w:szCs w:val="28"/>
                      </w:rPr>
                      <w:fldChar w:fldCharType="end"/>
                    </w:r>
                    <w:r>
                      <w:rPr>
                        <w:rStyle w:val="11"/>
                        <w:rFonts w:hint="eastAsia" w:ascii="宋体" w:hAnsi="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embedSystemFonts/>
  <w:trackRevisions w:val="1"/>
  <w:documentProtection w:enforcement="0"/>
  <w:defaultTabStop w:val="420"/>
  <w:drawingGridVerticalSpacing w:val="156"/>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NjN2Y0YWRlZWI5ZjYyNTZhZmRkNTM2Zjg2Zjg4M2YifQ=="/>
  </w:docVars>
  <w:rsids>
    <w:rsidRoot w:val="00916307"/>
    <w:rsid w:val="000260D8"/>
    <w:rsid w:val="00182DA4"/>
    <w:rsid w:val="00280EA8"/>
    <w:rsid w:val="00301542"/>
    <w:rsid w:val="00305918"/>
    <w:rsid w:val="0035772D"/>
    <w:rsid w:val="00441BC6"/>
    <w:rsid w:val="00447D92"/>
    <w:rsid w:val="00595F62"/>
    <w:rsid w:val="006D4C87"/>
    <w:rsid w:val="008A74DD"/>
    <w:rsid w:val="00916307"/>
    <w:rsid w:val="00920CB6"/>
    <w:rsid w:val="009846CF"/>
    <w:rsid w:val="009A21E6"/>
    <w:rsid w:val="009C465A"/>
    <w:rsid w:val="00B1133F"/>
    <w:rsid w:val="00BB1E51"/>
    <w:rsid w:val="00C476DF"/>
    <w:rsid w:val="00C60F36"/>
    <w:rsid w:val="00C95CE8"/>
    <w:rsid w:val="00D631DD"/>
    <w:rsid w:val="00E10640"/>
    <w:rsid w:val="00E30C7D"/>
    <w:rsid w:val="00E32162"/>
    <w:rsid w:val="00E3430E"/>
    <w:rsid w:val="00E6586B"/>
    <w:rsid w:val="00EF709D"/>
    <w:rsid w:val="00F00333"/>
    <w:rsid w:val="00F65F4C"/>
    <w:rsid w:val="0CFD7C74"/>
    <w:rsid w:val="0E360E77"/>
    <w:rsid w:val="0EB5499F"/>
    <w:rsid w:val="116E1A1B"/>
    <w:rsid w:val="11EB6C14"/>
    <w:rsid w:val="142F2860"/>
    <w:rsid w:val="15396F3B"/>
    <w:rsid w:val="16790831"/>
    <w:rsid w:val="16CA79DE"/>
    <w:rsid w:val="176838F9"/>
    <w:rsid w:val="18D76AF0"/>
    <w:rsid w:val="1CB7DF1C"/>
    <w:rsid w:val="1E741797"/>
    <w:rsid w:val="202F65D6"/>
    <w:rsid w:val="220B6A46"/>
    <w:rsid w:val="22774236"/>
    <w:rsid w:val="23230519"/>
    <w:rsid w:val="23D31495"/>
    <w:rsid w:val="2BB26633"/>
    <w:rsid w:val="2D1A673F"/>
    <w:rsid w:val="2E2D728F"/>
    <w:rsid w:val="33FCFDF7"/>
    <w:rsid w:val="357974F3"/>
    <w:rsid w:val="359459D2"/>
    <w:rsid w:val="386F3A3A"/>
    <w:rsid w:val="39EB643E"/>
    <w:rsid w:val="3F637EFE"/>
    <w:rsid w:val="3FEF726B"/>
    <w:rsid w:val="40EF1EA2"/>
    <w:rsid w:val="410072CF"/>
    <w:rsid w:val="43211879"/>
    <w:rsid w:val="460C4B72"/>
    <w:rsid w:val="471FE9CE"/>
    <w:rsid w:val="48307565"/>
    <w:rsid w:val="483C22FC"/>
    <w:rsid w:val="4C515A5D"/>
    <w:rsid w:val="4CC14B3A"/>
    <w:rsid w:val="4D1E6FE4"/>
    <w:rsid w:val="4DC40844"/>
    <w:rsid w:val="4DE836A3"/>
    <w:rsid w:val="4EE370C5"/>
    <w:rsid w:val="4EFF4084"/>
    <w:rsid w:val="4F041734"/>
    <w:rsid w:val="4FE194D3"/>
    <w:rsid w:val="57604C7E"/>
    <w:rsid w:val="58785668"/>
    <w:rsid w:val="58A25E76"/>
    <w:rsid w:val="598B0B79"/>
    <w:rsid w:val="5A821314"/>
    <w:rsid w:val="5BFFDC0D"/>
    <w:rsid w:val="5C663727"/>
    <w:rsid w:val="5D283F8E"/>
    <w:rsid w:val="5EA50254"/>
    <w:rsid w:val="5F7E7874"/>
    <w:rsid w:val="61D0275C"/>
    <w:rsid w:val="626444D2"/>
    <w:rsid w:val="64FF0D6F"/>
    <w:rsid w:val="652E18AD"/>
    <w:rsid w:val="67E53C7E"/>
    <w:rsid w:val="6808487E"/>
    <w:rsid w:val="69204878"/>
    <w:rsid w:val="6B7A5104"/>
    <w:rsid w:val="6BEB4A48"/>
    <w:rsid w:val="6BFD8D96"/>
    <w:rsid w:val="6CBB55AB"/>
    <w:rsid w:val="6DC45B5E"/>
    <w:rsid w:val="6DCF0A4B"/>
    <w:rsid w:val="72093F30"/>
    <w:rsid w:val="72A93AA3"/>
    <w:rsid w:val="73203C7E"/>
    <w:rsid w:val="75C522C3"/>
    <w:rsid w:val="75D40705"/>
    <w:rsid w:val="75FE13FA"/>
    <w:rsid w:val="79B950DB"/>
    <w:rsid w:val="7BEDF1E3"/>
    <w:rsid w:val="7C1A5009"/>
    <w:rsid w:val="7CFE43F2"/>
    <w:rsid w:val="7D46335B"/>
    <w:rsid w:val="7EAA0869"/>
    <w:rsid w:val="7EEEF154"/>
    <w:rsid w:val="7EFD2BA0"/>
    <w:rsid w:val="7F071AB4"/>
    <w:rsid w:val="7F5E2261"/>
    <w:rsid w:val="7F7F337B"/>
    <w:rsid w:val="7F97DC2B"/>
    <w:rsid w:val="7FDF9CA2"/>
    <w:rsid w:val="9DE98469"/>
    <w:rsid w:val="ADBF72BF"/>
    <w:rsid w:val="AE768E3E"/>
    <w:rsid w:val="AFF3F465"/>
    <w:rsid w:val="B3DF18CA"/>
    <w:rsid w:val="B7089EE3"/>
    <w:rsid w:val="B7FB9F9D"/>
    <w:rsid w:val="BEF9032A"/>
    <w:rsid w:val="BFFA898E"/>
    <w:rsid w:val="CEAEA529"/>
    <w:rsid w:val="CFCBB98E"/>
    <w:rsid w:val="DBBC2ACA"/>
    <w:rsid w:val="DC9918FE"/>
    <w:rsid w:val="DDFF1298"/>
    <w:rsid w:val="DED33E05"/>
    <w:rsid w:val="DEF77112"/>
    <w:rsid w:val="DF5606E8"/>
    <w:rsid w:val="DFFC2611"/>
    <w:rsid w:val="ED7DCA3F"/>
    <w:rsid w:val="EF4F0579"/>
    <w:rsid w:val="EF9F9B09"/>
    <w:rsid w:val="F2FBD4E7"/>
    <w:rsid w:val="F5FF9A41"/>
    <w:rsid w:val="F73FF163"/>
    <w:rsid w:val="F7CF6766"/>
    <w:rsid w:val="FE2E5C69"/>
    <w:rsid w:val="FEBF75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character" w:default="1" w:styleId="10">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index 5"/>
    <w:basedOn w:val="1"/>
    <w:next w:val="1"/>
    <w:qFormat/>
    <w:uiPriority w:val="0"/>
    <w:pPr>
      <w:ind w:left="1680"/>
    </w:pPr>
  </w:style>
  <w:style w:type="paragraph" w:styleId="4">
    <w:name w:val="annotation text"/>
    <w:basedOn w:val="1"/>
    <w:semiHidden/>
    <w:unhideWhenUsed/>
    <w:qFormat/>
    <w:uiPriority w:val="99"/>
    <w:pPr>
      <w:jc w:val="left"/>
    </w:pPr>
  </w:style>
  <w:style w:type="paragraph" w:styleId="5">
    <w:name w:val="footer"/>
    <w:basedOn w:val="1"/>
    <w:next w:val="3"/>
    <w:link w:val="14"/>
    <w:qFormat/>
    <w:uiPriority w:val="99"/>
    <w:pPr>
      <w:tabs>
        <w:tab w:val="center" w:pos="4153"/>
        <w:tab w:val="right" w:pos="8306"/>
      </w:tabs>
      <w:snapToGrid w:val="0"/>
      <w:jc w:val="left"/>
    </w:pPr>
    <w:rPr>
      <w:sz w:val="18"/>
      <w:szCs w:val="18"/>
    </w:rPr>
  </w:style>
  <w:style w:type="paragraph" w:styleId="6">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FollowedHyperlink"/>
    <w:basedOn w:val="10"/>
    <w:semiHidden/>
    <w:unhideWhenUsed/>
    <w:qFormat/>
    <w:uiPriority w:val="99"/>
    <w:rPr>
      <w:color w:val="000000"/>
      <w:u w:val="none"/>
    </w:rPr>
  </w:style>
  <w:style w:type="character" w:styleId="13">
    <w:name w:val="Hyperlink"/>
    <w:basedOn w:val="10"/>
    <w:unhideWhenUsed/>
    <w:qFormat/>
    <w:uiPriority w:val="99"/>
    <w:rPr>
      <w:color w:val="0563C1" w:themeColor="hyperlink"/>
      <w:u w:val="single"/>
      <w14:textFill>
        <w14:solidFill>
          <w14:schemeClr w14:val="hlink"/>
        </w14:solidFill>
      </w14:textFill>
    </w:rPr>
  </w:style>
  <w:style w:type="character" w:customStyle="1" w:styleId="14">
    <w:name w:val="页脚 Char"/>
    <w:basedOn w:val="10"/>
    <w:link w:val="5"/>
    <w:qFormat/>
    <w:uiPriority w:val="99"/>
    <w:rPr>
      <w:rFonts w:ascii="Calibri" w:hAnsi="Calibri" w:eastAsia="宋体" w:cs="Calibri"/>
      <w:sz w:val="18"/>
      <w:szCs w:val="18"/>
    </w:rPr>
  </w:style>
  <w:style w:type="paragraph" w:styleId="15">
    <w:name w:val="List Paragraph"/>
    <w:basedOn w:val="1"/>
    <w:unhideWhenUsed/>
    <w:qFormat/>
    <w:uiPriority w:val="99"/>
    <w:pPr>
      <w:ind w:firstLine="420" w:firstLineChars="200"/>
    </w:pPr>
  </w:style>
  <w:style w:type="character" w:customStyle="1" w:styleId="16">
    <w:name w:val="Hei Ti"/>
    <w:qFormat/>
    <w:uiPriority w:val="0"/>
    <w:rPr>
      <w:rFonts w:ascii="黑体" w:hAnsi="黑体" w:eastAsia="黑体" w:cs="黑体"/>
      <w:sz w:val="32"/>
    </w:rPr>
  </w:style>
  <w:style w:type="character" w:customStyle="1" w:styleId="17">
    <w:name w:val="Hei Ti Bold"/>
    <w:qFormat/>
    <w:uiPriority w:val="0"/>
    <w:rPr>
      <w:rFonts w:ascii="黑体" w:hAnsi="黑体" w:eastAsia="黑体" w:cs="黑体"/>
      <w:b/>
      <w:sz w:val="32"/>
    </w:rPr>
  </w:style>
  <w:style w:type="character" w:customStyle="1" w:styleId="18">
    <w:name w:val="Hei Ti Bold1"/>
    <w:qFormat/>
    <w:uiPriority w:val="0"/>
    <w:rPr>
      <w:rFonts w:ascii="黑体" w:hAnsi="黑体" w:eastAsia="黑体" w:cs="黑体"/>
      <w:b/>
      <w:sz w:val="36"/>
    </w:rPr>
  </w:style>
  <w:style w:type="character" w:customStyle="1" w:styleId="19">
    <w:name w:val="GB_2312"/>
    <w:qFormat/>
    <w:uiPriority w:val="0"/>
    <w:rPr>
      <w:rFonts w:ascii="仿宋_GB2312" w:hAnsi="仿宋_GB2312" w:eastAsia="仿宋_GB2312" w:cs="仿宋_GB2312"/>
      <w:sz w:val="32"/>
    </w:rPr>
  </w:style>
  <w:style w:type="character" w:customStyle="1" w:styleId="20">
    <w:name w:val="GB_23121"/>
    <w:qFormat/>
    <w:uiPriority w:val="0"/>
    <w:rPr>
      <w:rFonts w:ascii="仿宋_GB2312" w:hAnsi="仿宋_GB2312" w:eastAsia="仿宋_GB2312" w:cs="仿宋_GB2312"/>
      <w:sz w:val="36"/>
    </w:rPr>
  </w:style>
  <w:style w:type="character" w:customStyle="1" w:styleId="21">
    <w:name w:val="Red_Color"/>
    <w:qFormat/>
    <w:uiPriority w:val="0"/>
    <w:rPr>
      <w:rFonts w:ascii="方正小标宋简体" w:hAnsi="方正小标宋简体" w:eastAsia="方正小标宋简体" w:cs="方正小标宋简体"/>
      <w:color w:val="FF0000"/>
      <w:sz w:val="65"/>
    </w:rPr>
  </w:style>
  <w:style w:type="character" w:customStyle="1" w:styleId="22">
    <w:name w:val="KaiTi"/>
    <w:qFormat/>
    <w:uiPriority w:val="0"/>
    <w:rPr>
      <w:rFonts w:ascii="楷体_GB2312" w:hAnsi="楷体_GB2312" w:eastAsia="楷体_GB2312" w:cs="楷体_GB2312"/>
      <w:sz w:val="32"/>
    </w:rPr>
  </w:style>
  <w:style w:type="character" w:customStyle="1" w:styleId="23">
    <w:name w:val="Fz_Xbs"/>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10</Pages>
  <Words>1868</Words>
  <Characters>1927</Characters>
  <Lines>14</Lines>
  <Paragraphs>4</Paragraphs>
  <TotalTime>9</TotalTime>
  <ScaleCrop>false</ScaleCrop>
  <LinksUpToDate>false</LinksUpToDate>
  <CharactersWithSpaces>1955</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2024-11-11T18:10:00Z</dcterms:created>
  <dc:creator>PC</dc:creator>
  <cp:lastModifiedBy>雨熹 Cisia</cp:lastModifiedBy>
  <cp:lastPrinted>2024-11-15T11:07:00Z</cp:lastPrinted>
  <dcterms:modified xsi:type="dcterms:W3CDTF">2025-12-29T23:53:55Z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56E9247B776A95F713A452695E931224_43</vt:lpwstr>
  </property>
</Properties>
</file>