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CCD85D">
      <w:pPr>
        <w:pStyle w:val="12"/>
        <w:widowControl/>
        <w:shd w:val="clear" w:color="auto" w:fill="FFFFFF"/>
        <w:spacing w:beforeAutospacing="0" w:afterAutospacing="0" w:line="640" w:lineRule="exact"/>
        <w:jc w:val="center"/>
        <w:rPr>
          <w:rFonts w:ascii="Times New Roman" w:hAnsi="Times New Roman" w:eastAsia="方正小标宋简体"/>
          <w:sz w:val="44"/>
          <w:szCs w:val="44"/>
          <w:lang w:bidi="ar"/>
        </w:rPr>
      </w:pPr>
    </w:p>
    <w:p w14:paraId="6E6E71D1">
      <w:pPr>
        <w:pStyle w:val="12"/>
        <w:widowControl/>
        <w:shd w:val="clear" w:color="auto" w:fill="FFFFFF"/>
        <w:spacing w:beforeAutospacing="0" w:afterAutospacing="0" w:line="640" w:lineRule="exact"/>
        <w:jc w:val="center"/>
        <w:rPr>
          <w:rFonts w:ascii="Times New Roman" w:hAnsi="Times New Roman" w:eastAsia="方正小标宋简体"/>
          <w:sz w:val="44"/>
          <w:szCs w:val="44"/>
          <w:lang w:bidi="ar"/>
        </w:rPr>
      </w:pPr>
      <w:r>
        <w:rPr>
          <w:rFonts w:ascii="Times New Roman" w:hAnsi="Times New Roman" w:eastAsia="方正小标宋简体"/>
          <w:sz w:val="44"/>
          <w:szCs w:val="44"/>
          <w:lang w:bidi="ar"/>
        </w:rPr>
        <w:t>天津市结核病防治规划（2025—2030年）</w:t>
      </w:r>
    </w:p>
    <w:p w14:paraId="1AD1BDCE">
      <w:pPr>
        <w:pStyle w:val="12"/>
        <w:widowControl/>
        <w:shd w:val="clear" w:color="auto" w:fill="FFFFFF"/>
        <w:spacing w:beforeAutospacing="0" w:afterAutospacing="0" w:line="640" w:lineRule="exact"/>
        <w:jc w:val="center"/>
        <w:rPr>
          <w:rFonts w:hint="eastAsia" w:ascii="楷体_GB2312" w:hAnsi="楷体_GB2312" w:eastAsia="楷体_GB2312" w:cs="楷体_GB2312"/>
          <w:sz w:val="32"/>
          <w:szCs w:val="32"/>
          <w:lang w:bidi="ar"/>
        </w:rPr>
      </w:pPr>
      <w:r>
        <w:rPr>
          <w:rFonts w:hint="eastAsia" w:ascii="楷体_GB2312" w:hAnsi="楷体_GB2312" w:eastAsia="楷体_GB2312" w:cs="楷体_GB2312"/>
          <w:sz w:val="32"/>
          <w:szCs w:val="32"/>
          <w:lang w:bidi="ar"/>
        </w:rPr>
        <w:t>（</w:t>
      </w:r>
      <w:r>
        <w:rPr>
          <w:rFonts w:hint="eastAsia" w:ascii="楷体_GB2312" w:hAnsi="楷体_GB2312" w:eastAsia="楷体_GB2312" w:cs="楷体_GB2312"/>
          <w:sz w:val="32"/>
          <w:szCs w:val="32"/>
          <w:lang w:eastAsia="zh-CN" w:bidi="ar"/>
        </w:rPr>
        <w:t>征求意见稿</w:t>
      </w:r>
      <w:bookmarkStart w:id="5" w:name="_GoBack"/>
      <w:bookmarkEnd w:id="5"/>
      <w:r>
        <w:rPr>
          <w:rFonts w:hint="eastAsia" w:ascii="楷体_GB2312" w:hAnsi="楷体_GB2312" w:eastAsia="楷体_GB2312" w:cs="楷体_GB2312"/>
          <w:sz w:val="32"/>
          <w:szCs w:val="32"/>
          <w:lang w:bidi="ar"/>
        </w:rPr>
        <w:t>）</w:t>
      </w:r>
    </w:p>
    <w:p w14:paraId="03216E24">
      <w:pPr>
        <w:pStyle w:val="10"/>
        <w:spacing w:line="640" w:lineRule="exact"/>
        <w:jc w:val="center"/>
        <w:rPr>
          <w:rFonts w:ascii="Times New Roman" w:hAnsi="Times New Roman" w:eastAsia="仿宋_GB2312" w:cs="Times New Roman"/>
          <w:sz w:val="32"/>
          <w:szCs w:val="32"/>
        </w:rPr>
      </w:pPr>
    </w:p>
    <w:p w14:paraId="0E2F38D7">
      <w:pPr>
        <w:spacing w:line="560" w:lineRule="exact"/>
        <w:ind w:firstLine="640" w:firstLineChars="200"/>
        <w:rPr>
          <w:rFonts w:ascii="Times New Roman" w:hAnsi="Times New Roman" w:eastAsia="仿宋_GB2312" w:cs="Times New Roman"/>
          <w:sz w:val="32"/>
          <w:szCs w:val="32"/>
          <w14:ligatures w14:val="none"/>
        </w:rPr>
      </w:pPr>
      <w:r>
        <w:rPr>
          <w:rFonts w:ascii="Times New Roman" w:hAnsi="Times New Roman" w:eastAsia="仿宋_GB2312" w:cs="Times New Roman"/>
          <w:sz w:val="32"/>
          <w:szCs w:val="32"/>
          <w14:ligatures w14:val="none"/>
        </w:rPr>
        <w:t>为贯彻落实《全国结核病防治规划（2024—2030年）》结合我市实际情况，制定本规划。</w:t>
      </w:r>
    </w:p>
    <w:p w14:paraId="43906B70">
      <w:pPr>
        <w:pStyle w:val="12"/>
        <w:widowControl/>
        <w:shd w:val="clear" w:color="auto" w:fill="FFFFFF"/>
        <w:spacing w:beforeAutospacing="0" w:afterAutospacing="0" w:line="560" w:lineRule="exact"/>
        <w:ind w:firstLine="640" w:firstLineChars="200"/>
        <w:rPr>
          <w:rFonts w:ascii="Times New Roman" w:hAnsi="Times New Roman" w:eastAsia="黑体"/>
          <w:sz w:val="32"/>
          <w:szCs w:val="32"/>
        </w:rPr>
      </w:pPr>
      <w:r>
        <w:rPr>
          <w:rFonts w:ascii="Times New Roman" w:hAnsi="Times New Roman" w:eastAsia="黑体"/>
          <w:sz w:val="32"/>
          <w:szCs w:val="32"/>
        </w:rPr>
        <w:t>一、目标要求</w:t>
      </w:r>
    </w:p>
    <w:p w14:paraId="014278B0">
      <w:pPr>
        <w:spacing w:line="560" w:lineRule="exact"/>
        <w:ind w:firstLine="640" w:firstLineChars="200"/>
        <w:rPr>
          <w:rFonts w:ascii="Times New Roman" w:hAnsi="Times New Roman" w:eastAsia="仿宋_GB2312" w:cs="Times New Roman"/>
          <w:sz w:val="32"/>
          <w:szCs w:val="32"/>
          <w14:ligatures w14:val="none"/>
        </w:rPr>
      </w:pPr>
      <w:r>
        <w:rPr>
          <w:rFonts w:ascii="仿宋_GB2312" w:hAnsi="仿宋_GB2312" w:eastAsia="仿宋_GB2312" w:cs="仿宋_GB2312"/>
          <w:sz w:val="32"/>
          <w:szCs w:val="40"/>
          <w14:ligatures w14:val="none"/>
        </w:rPr>
        <w:t>以习近平新时代中国特色社会主义思想为指导，全面贯彻党的二十大和二十届二中、三中</w:t>
      </w:r>
      <w:r>
        <w:rPr>
          <w:rFonts w:hint="eastAsia" w:ascii="仿宋_GB2312" w:hAnsi="仿宋_GB2312" w:eastAsia="仿宋_GB2312" w:cs="仿宋_GB2312"/>
          <w:sz w:val="32"/>
          <w:szCs w:val="40"/>
          <w14:ligatures w14:val="none"/>
        </w:rPr>
        <w:t>、四中</w:t>
      </w:r>
      <w:r>
        <w:rPr>
          <w:rFonts w:ascii="仿宋_GB2312" w:hAnsi="仿宋_GB2312" w:eastAsia="仿宋_GB2312" w:cs="仿宋_GB2312"/>
          <w:sz w:val="32"/>
          <w:szCs w:val="40"/>
          <w14:ligatures w14:val="none"/>
        </w:rPr>
        <w:t>全会精神，</w:t>
      </w:r>
      <w:r>
        <w:rPr>
          <w:rFonts w:ascii="Times New Roman" w:hAnsi="Times New Roman" w:eastAsia="仿宋_GB2312" w:cs="Times New Roman"/>
          <w:sz w:val="32"/>
          <w:szCs w:val="32"/>
          <w14:ligatures w14:val="none"/>
        </w:rPr>
        <w:t>坚持党的领导、部门协作、社会动员、全民参与的机制，坚持预防为主、防治结合、因地制宜、重点突出的原则，推动我市结核病防治工作高质量发展。</w:t>
      </w:r>
    </w:p>
    <w:p w14:paraId="1CC422D8">
      <w:pPr>
        <w:spacing w:line="560" w:lineRule="exact"/>
        <w:ind w:firstLine="640" w:firstLineChars="200"/>
        <w:rPr>
          <w:rFonts w:ascii="Times New Roman" w:hAnsi="Times New Roman" w:eastAsia="黑体" w:cs="Times New Roman"/>
          <w:bCs/>
          <w:color w:val="000000"/>
          <w:kern w:val="0"/>
          <w:sz w:val="28"/>
          <w:szCs w:val="28"/>
          <w14:ligatures w14:val="none"/>
        </w:rPr>
      </w:pPr>
      <w:r>
        <w:rPr>
          <w:rFonts w:ascii="Times New Roman" w:hAnsi="Times New Roman" w:eastAsia="仿宋_GB2312" w:cs="Times New Roman"/>
          <w:sz w:val="32"/>
          <w:szCs w:val="32"/>
          <w14:ligatures w14:val="none"/>
        </w:rPr>
        <w:t>总体目标是始终将我市结核病发病率保持在全国低流行水平，患者经济负担逐步降低。具体目标见下表。</w:t>
      </w:r>
    </w:p>
    <w:p w14:paraId="3F714DD9">
      <w:pPr>
        <w:widowControl/>
        <w:spacing w:line="560" w:lineRule="exact"/>
        <w:jc w:val="center"/>
        <w:rPr>
          <w:rFonts w:ascii="Times New Roman" w:hAnsi="Times New Roman" w:eastAsia="黑体" w:cs="Times New Roman"/>
          <w:bCs/>
          <w:color w:val="000000"/>
          <w:kern w:val="0"/>
          <w:sz w:val="28"/>
          <w:szCs w:val="28"/>
          <w14:ligatures w14:val="none"/>
        </w:rPr>
      </w:pPr>
      <w:r>
        <w:rPr>
          <w:rFonts w:ascii="Times New Roman" w:hAnsi="Times New Roman" w:eastAsia="黑体" w:cs="Times New Roman"/>
          <w:bCs/>
          <w:color w:val="000000"/>
          <w:kern w:val="0"/>
          <w:sz w:val="28"/>
          <w:szCs w:val="28"/>
          <w14:ligatures w14:val="none"/>
        </w:rPr>
        <w:t>规划指标一览表</w:t>
      </w:r>
    </w:p>
    <w:tbl>
      <w:tblPr>
        <w:tblStyle w:val="15"/>
        <w:tblW w:w="4688" w:type="pct"/>
        <w:jc w:val="center"/>
        <w:tblLayout w:type="autofit"/>
        <w:tblCellMar>
          <w:top w:w="15" w:type="dxa"/>
          <w:left w:w="108" w:type="dxa"/>
          <w:bottom w:w="0" w:type="dxa"/>
          <w:right w:w="108" w:type="dxa"/>
        </w:tblCellMar>
      </w:tblPr>
      <w:tblGrid>
        <w:gridCol w:w="743"/>
        <w:gridCol w:w="955"/>
        <w:gridCol w:w="3581"/>
        <w:gridCol w:w="1606"/>
        <w:gridCol w:w="1611"/>
      </w:tblGrid>
      <w:tr w14:paraId="4CC4FC9F">
        <w:tblPrEx>
          <w:tblCellMar>
            <w:top w:w="15" w:type="dxa"/>
            <w:left w:w="108" w:type="dxa"/>
            <w:bottom w:w="0" w:type="dxa"/>
            <w:right w:w="108" w:type="dxa"/>
          </w:tblCellMar>
        </w:tblPrEx>
        <w:trPr>
          <w:trHeight w:val="285" w:hRule="atLeast"/>
          <w:jc w:val="center"/>
        </w:trPr>
        <w:tc>
          <w:tcPr>
            <w:tcW w:w="999" w:type="pct"/>
            <w:gridSpan w:val="2"/>
            <w:tcBorders>
              <w:top w:val="single" w:color="auto" w:sz="4" w:space="0"/>
              <w:left w:val="single" w:color="auto" w:sz="4" w:space="0"/>
              <w:bottom w:val="single" w:color="auto" w:sz="4" w:space="0"/>
              <w:right w:val="single" w:color="auto" w:sz="4" w:space="0"/>
            </w:tcBorders>
            <w:vAlign w:val="center"/>
          </w:tcPr>
          <w:p w14:paraId="13660CD7">
            <w:pPr>
              <w:widowControl/>
              <w:jc w:val="center"/>
              <w:rPr>
                <w:rFonts w:ascii="Times New Roman" w:hAnsi="Times New Roman" w:eastAsia="黑体" w:cs="Times New Roman"/>
                <w:bCs/>
                <w:color w:val="000000"/>
                <w:kern w:val="0"/>
                <w:sz w:val="28"/>
                <w:szCs w:val="28"/>
                <w14:ligatures w14:val="none"/>
              </w:rPr>
            </w:pPr>
            <w:r>
              <w:rPr>
                <w:rFonts w:ascii="Times New Roman" w:hAnsi="Times New Roman" w:eastAsia="黑体" w:cs="Times New Roman"/>
                <w:bCs/>
                <w:color w:val="000000"/>
                <w:kern w:val="0"/>
                <w:sz w:val="28"/>
                <w:szCs w:val="28"/>
                <w14:ligatures w14:val="none"/>
              </w:rPr>
              <w:t>领域</w:t>
            </w:r>
          </w:p>
        </w:tc>
        <w:tc>
          <w:tcPr>
            <w:tcW w:w="2107" w:type="pct"/>
            <w:tcBorders>
              <w:top w:val="single" w:color="auto" w:sz="4" w:space="0"/>
              <w:left w:val="nil"/>
              <w:bottom w:val="single" w:color="auto" w:sz="4" w:space="0"/>
              <w:right w:val="single" w:color="auto" w:sz="4" w:space="0"/>
            </w:tcBorders>
            <w:vAlign w:val="center"/>
          </w:tcPr>
          <w:p w14:paraId="06A38E54">
            <w:pPr>
              <w:widowControl/>
              <w:jc w:val="center"/>
              <w:rPr>
                <w:rFonts w:ascii="Times New Roman" w:hAnsi="Times New Roman" w:eastAsia="黑体" w:cs="Times New Roman"/>
                <w:bCs/>
                <w:color w:val="000000"/>
                <w:kern w:val="0"/>
                <w:sz w:val="28"/>
                <w:szCs w:val="28"/>
                <w14:ligatures w14:val="none"/>
              </w:rPr>
            </w:pPr>
            <w:r>
              <w:rPr>
                <w:rFonts w:ascii="Times New Roman" w:hAnsi="Times New Roman" w:eastAsia="黑体" w:cs="Times New Roman"/>
                <w:bCs/>
                <w:color w:val="000000"/>
                <w:kern w:val="0"/>
                <w:sz w:val="28"/>
                <w:szCs w:val="28"/>
                <w14:ligatures w14:val="none"/>
              </w:rPr>
              <w:t>指标</w:t>
            </w:r>
          </w:p>
        </w:tc>
        <w:tc>
          <w:tcPr>
            <w:tcW w:w="945" w:type="pct"/>
            <w:tcBorders>
              <w:top w:val="single" w:color="auto" w:sz="4" w:space="0"/>
              <w:left w:val="nil"/>
              <w:bottom w:val="single" w:color="auto" w:sz="4" w:space="0"/>
              <w:right w:val="single" w:color="auto" w:sz="4" w:space="0"/>
            </w:tcBorders>
            <w:vAlign w:val="center"/>
          </w:tcPr>
          <w:p w14:paraId="76D58AA5">
            <w:pPr>
              <w:widowControl/>
              <w:jc w:val="center"/>
              <w:rPr>
                <w:rFonts w:ascii="Times New Roman" w:hAnsi="Times New Roman" w:eastAsia="黑体" w:cs="Times New Roman"/>
                <w:bCs/>
                <w:color w:val="000000"/>
                <w:kern w:val="0"/>
                <w:sz w:val="28"/>
                <w:szCs w:val="28"/>
                <w14:ligatures w14:val="none"/>
              </w:rPr>
            </w:pPr>
            <w:r>
              <w:rPr>
                <w:rFonts w:ascii="Times New Roman" w:hAnsi="Times New Roman" w:eastAsia="黑体" w:cs="Times New Roman"/>
                <w:bCs/>
                <w:color w:val="000000"/>
                <w:kern w:val="0"/>
                <w:sz w:val="28"/>
                <w:szCs w:val="28"/>
                <w14:ligatures w14:val="none"/>
              </w:rPr>
              <w:t>2025年</w:t>
            </w:r>
          </w:p>
        </w:tc>
        <w:tc>
          <w:tcPr>
            <w:tcW w:w="948" w:type="pct"/>
            <w:tcBorders>
              <w:top w:val="single" w:color="auto" w:sz="4" w:space="0"/>
              <w:left w:val="nil"/>
              <w:bottom w:val="single" w:color="auto" w:sz="4" w:space="0"/>
              <w:right w:val="single" w:color="auto" w:sz="4" w:space="0"/>
            </w:tcBorders>
            <w:vAlign w:val="center"/>
          </w:tcPr>
          <w:p w14:paraId="70D8EAB7">
            <w:pPr>
              <w:widowControl/>
              <w:jc w:val="center"/>
              <w:rPr>
                <w:rFonts w:ascii="Times New Roman" w:hAnsi="Times New Roman" w:eastAsia="黑体" w:cs="Times New Roman"/>
                <w:bCs/>
                <w:color w:val="000000"/>
                <w:kern w:val="0"/>
                <w:sz w:val="28"/>
                <w:szCs w:val="28"/>
                <w14:ligatures w14:val="none"/>
              </w:rPr>
            </w:pPr>
            <w:r>
              <w:rPr>
                <w:rFonts w:ascii="Times New Roman" w:hAnsi="Times New Roman" w:eastAsia="黑体" w:cs="Times New Roman"/>
                <w:bCs/>
                <w:color w:val="000000"/>
                <w:kern w:val="0"/>
                <w:sz w:val="28"/>
                <w:szCs w:val="28"/>
                <w14:ligatures w14:val="none"/>
              </w:rPr>
              <w:t>2030年</w:t>
            </w:r>
          </w:p>
        </w:tc>
      </w:tr>
      <w:tr w14:paraId="6338E315">
        <w:tblPrEx>
          <w:tblCellMar>
            <w:top w:w="15" w:type="dxa"/>
            <w:left w:w="108" w:type="dxa"/>
            <w:bottom w:w="0" w:type="dxa"/>
            <w:right w:w="108" w:type="dxa"/>
          </w:tblCellMar>
        </w:tblPrEx>
        <w:trPr>
          <w:trHeight w:val="285" w:hRule="atLeast"/>
          <w:jc w:val="center"/>
        </w:trPr>
        <w:tc>
          <w:tcPr>
            <w:tcW w:w="437" w:type="pct"/>
            <w:tcBorders>
              <w:top w:val="nil"/>
              <w:left w:val="single" w:color="auto" w:sz="4" w:space="0"/>
              <w:bottom w:val="single" w:color="auto" w:sz="4" w:space="0"/>
              <w:right w:val="single" w:color="auto" w:sz="4" w:space="0"/>
            </w:tcBorders>
            <w:vAlign w:val="center"/>
          </w:tcPr>
          <w:p w14:paraId="1D10E3EC">
            <w:pPr>
              <w:widowControl/>
              <w:jc w:val="center"/>
              <w:rPr>
                <w:rFonts w:ascii="Times New Roman" w:hAnsi="Times New Roman" w:eastAsia="仿宋_GB2312" w:cs="Times New Roman"/>
                <w:color w:val="000000"/>
                <w:kern w:val="0"/>
                <w:sz w:val="28"/>
                <w:szCs w:val="28"/>
                <w14:ligatures w14:val="none"/>
              </w:rPr>
            </w:pPr>
            <w:r>
              <w:rPr>
                <w:rFonts w:ascii="Times New Roman" w:hAnsi="Times New Roman" w:eastAsia="仿宋_GB2312" w:cs="Times New Roman"/>
                <w:color w:val="000000"/>
                <w:kern w:val="0"/>
                <w:sz w:val="28"/>
                <w:szCs w:val="28"/>
                <w14:ligatures w14:val="none"/>
              </w:rPr>
              <w:t>总体目标</w:t>
            </w:r>
          </w:p>
        </w:tc>
        <w:tc>
          <w:tcPr>
            <w:tcW w:w="562" w:type="pct"/>
            <w:tcBorders>
              <w:top w:val="nil"/>
              <w:left w:val="nil"/>
              <w:bottom w:val="single" w:color="auto" w:sz="4" w:space="0"/>
              <w:right w:val="single" w:color="auto" w:sz="4" w:space="0"/>
            </w:tcBorders>
            <w:vAlign w:val="center"/>
          </w:tcPr>
          <w:p w14:paraId="111B8B3A">
            <w:pPr>
              <w:widowControl/>
              <w:jc w:val="center"/>
              <w:rPr>
                <w:rFonts w:ascii="Times New Roman" w:hAnsi="Times New Roman" w:eastAsia="仿宋_GB2312" w:cs="Times New Roman"/>
                <w:color w:val="000000"/>
                <w:kern w:val="0"/>
                <w:sz w:val="28"/>
                <w:szCs w:val="28"/>
                <w14:ligatures w14:val="none"/>
              </w:rPr>
            </w:pPr>
            <w:r>
              <w:rPr>
                <w:rFonts w:ascii="Times New Roman" w:hAnsi="Times New Roman" w:eastAsia="仿宋_GB2312" w:cs="Times New Roman"/>
                <w:color w:val="000000"/>
                <w:kern w:val="0"/>
                <w:sz w:val="28"/>
                <w:szCs w:val="28"/>
                <w14:ligatures w14:val="none"/>
              </w:rPr>
              <w:t>核心指标</w:t>
            </w:r>
          </w:p>
        </w:tc>
        <w:tc>
          <w:tcPr>
            <w:tcW w:w="2107" w:type="pct"/>
            <w:tcBorders>
              <w:top w:val="nil"/>
              <w:left w:val="nil"/>
              <w:bottom w:val="single" w:color="auto" w:sz="4" w:space="0"/>
              <w:right w:val="single" w:color="auto" w:sz="4" w:space="0"/>
            </w:tcBorders>
            <w:vAlign w:val="center"/>
          </w:tcPr>
          <w:p w14:paraId="7ACBEAF9">
            <w:pPr>
              <w:widowControl/>
              <w:jc w:val="center"/>
              <w:rPr>
                <w:rFonts w:ascii="Times New Roman" w:hAnsi="Times New Roman" w:eastAsia="仿宋_GB2312" w:cs="Times New Roman"/>
                <w:color w:val="000000"/>
                <w:kern w:val="0"/>
                <w:sz w:val="28"/>
                <w:szCs w:val="28"/>
                <w14:ligatures w14:val="none"/>
              </w:rPr>
            </w:pPr>
            <w:r>
              <w:rPr>
                <w:rFonts w:ascii="Times New Roman" w:hAnsi="Times New Roman" w:eastAsia="仿宋_GB2312" w:cs="Times New Roman"/>
                <w:kern w:val="0"/>
                <w:sz w:val="28"/>
                <w:szCs w:val="28"/>
                <w14:ligatures w14:val="none"/>
              </w:rPr>
              <w:t>结核病发病率</w:t>
            </w:r>
          </w:p>
        </w:tc>
        <w:tc>
          <w:tcPr>
            <w:tcW w:w="945" w:type="pct"/>
            <w:tcBorders>
              <w:top w:val="nil"/>
              <w:left w:val="nil"/>
              <w:bottom w:val="single" w:color="auto" w:sz="4" w:space="0"/>
              <w:right w:val="single" w:color="auto" w:sz="4" w:space="0"/>
            </w:tcBorders>
            <w:vAlign w:val="center"/>
          </w:tcPr>
          <w:p w14:paraId="3D284422">
            <w:pPr>
              <w:widowControl/>
              <w:jc w:val="center"/>
              <w:rPr>
                <w:rFonts w:ascii="Times New Roman" w:hAnsi="Times New Roman" w:eastAsia="仿宋_GB2312" w:cs="Times New Roman"/>
                <w:color w:val="000000"/>
                <w:kern w:val="0"/>
                <w:sz w:val="28"/>
                <w:szCs w:val="28"/>
                <w14:ligatures w14:val="none"/>
              </w:rPr>
            </w:pPr>
            <w:r>
              <w:rPr>
                <w:rFonts w:ascii="Times New Roman" w:hAnsi="Times New Roman" w:eastAsia="仿宋_GB2312" w:cs="Times New Roman"/>
                <w:color w:val="000000"/>
                <w:kern w:val="0"/>
                <w:sz w:val="28"/>
                <w:szCs w:val="28"/>
                <w14:ligatures w14:val="none"/>
              </w:rPr>
              <w:t>＜25/10万</w:t>
            </w:r>
          </w:p>
        </w:tc>
        <w:tc>
          <w:tcPr>
            <w:tcW w:w="948" w:type="pct"/>
            <w:tcBorders>
              <w:top w:val="nil"/>
              <w:left w:val="nil"/>
              <w:bottom w:val="single" w:color="auto" w:sz="4" w:space="0"/>
              <w:right w:val="single" w:color="auto" w:sz="4" w:space="0"/>
            </w:tcBorders>
            <w:vAlign w:val="center"/>
          </w:tcPr>
          <w:p w14:paraId="78FF5448">
            <w:pPr>
              <w:widowControl/>
              <w:jc w:val="center"/>
              <w:rPr>
                <w:rFonts w:ascii="Times New Roman" w:hAnsi="Times New Roman" w:eastAsia="仿宋_GB2312" w:cs="Times New Roman"/>
                <w:color w:val="000000"/>
                <w:kern w:val="0"/>
                <w:sz w:val="28"/>
                <w:szCs w:val="28"/>
                <w14:ligatures w14:val="none"/>
              </w:rPr>
            </w:pPr>
            <w:r>
              <w:rPr>
                <w:rFonts w:ascii="Times New Roman" w:hAnsi="Times New Roman" w:eastAsia="仿宋_GB2312" w:cs="Times New Roman"/>
                <w:color w:val="000000"/>
                <w:kern w:val="0"/>
                <w:sz w:val="28"/>
                <w:szCs w:val="28"/>
                <w14:ligatures w14:val="none"/>
              </w:rPr>
              <w:t>＜18/10万</w:t>
            </w:r>
          </w:p>
        </w:tc>
      </w:tr>
      <w:tr w14:paraId="5914AD20">
        <w:tblPrEx>
          <w:tblCellMar>
            <w:top w:w="15" w:type="dxa"/>
            <w:left w:w="108" w:type="dxa"/>
            <w:bottom w:w="0" w:type="dxa"/>
            <w:right w:w="108" w:type="dxa"/>
          </w:tblCellMar>
        </w:tblPrEx>
        <w:trPr>
          <w:trHeight w:val="285" w:hRule="atLeast"/>
          <w:jc w:val="center"/>
        </w:trPr>
        <w:tc>
          <w:tcPr>
            <w:tcW w:w="437" w:type="pct"/>
            <w:vMerge w:val="restart"/>
            <w:tcBorders>
              <w:top w:val="nil"/>
              <w:left w:val="single" w:color="auto" w:sz="4" w:space="0"/>
              <w:bottom w:val="single" w:color="auto" w:sz="4" w:space="0"/>
              <w:right w:val="single" w:color="auto" w:sz="4" w:space="0"/>
            </w:tcBorders>
            <w:vAlign w:val="center"/>
          </w:tcPr>
          <w:p w14:paraId="799F2AB7">
            <w:pPr>
              <w:widowControl/>
              <w:jc w:val="center"/>
              <w:rPr>
                <w:rFonts w:ascii="Times New Roman" w:hAnsi="Times New Roman" w:eastAsia="仿宋_GB2312" w:cs="Times New Roman"/>
                <w:color w:val="000000"/>
                <w:kern w:val="0"/>
                <w:sz w:val="28"/>
                <w:szCs w:val="28"/>
                <w14:ligatures w14:val="none"/>
              </w:rPr>
            </w:pPr>
            <w:r>
              <w:rPr>
                <w:rFonts w:ascii="Times New Roman" w:hAnsi="Times New Roman" w:eastAsia="仿宋_GB2312" w:cs="Times New Roman"/>
                <w:color w:val="000000"/>
                <w:kern w:val="0"/>
                <w:sz w:val="28"/>
                <w:szCs w:val="28"/>
                <w14:ligatures w14:val="none"/>
              </w:rPr>
              <w:t>工作指标</w:t>
            </w:r>
          </w:p>
        </w:tc>
        <w:tc>
          <w:tcPr>
            <w:tcW w:w="562" w:type="pct"/>
            <w:vMerge w:val="restart"/>
            <w:tcBorders>
              <w:top w:val="nil"/>
              <w:left w:val="single" w:color="auto" w:sz="4" w:space="0"/>
              <w:bottom w:val="single" w:color="000000" w:sz="4" w:space="0"/>
              <w:right w:val="single" w:color="auto" w:sz="4" w:space="0"/>
            </w:tcBorders>
            <w:vAlign w:val="center"/>
          </w:tcPr>
          <w:p w14:paraId="73ABE7D4">
            <w:pPr>
              <w:widowControl/>
              <w:jc w:val="center"/>
              <w:rPr>
                <w:rFonts w:ascii="Times New Roman" w:hAnsi="Times New Roman" w:eastAsia="仿宋_GB2312" w:cs="Times New Roman"/>
                <w:color w:val="000000"/>
                <w:kern w:val="0"/>
                <w:sz w:val="28"/>
                <w:szCs w:val="28"/>
                <w14:ligatures w14:val="none"/>
              </w:rPr>
            </w:pPr>
            <w:r>
              <w:rPr>
                <w:rFonts w:ascii="Times New Roman" w:hAnsi="Times New Roman" w:eastAsia="仿宋_GB2312" w:cs="Times New Roman"/>
                <w:color w:val="000000"/>
                <w:kern w:val="0"/>
                <w:sz w:val="28"/>
                <w:szCs w:val="28"/>
                <w14:ligatures w14:val="none"/>
              </w:rPr>
              <w:t>患者发现</w:t>
            </w:r>
          </w:p>
        </w:tc>
        <w:tc>
          <w:tcPr>
            <w:tcW w:w="2107" w:type="pct"/>
            <w:tcBorders>
              <w:top w:val="nil"/>
              <w:left w:val="nil"/>
              <w:bottom w:val="single" w:color="auto" w:sz="4" w:space="0"/>
              <w:right w:val="single" w:color="auto" w:sz="4" w:space="0"/>
            </w:tcBorders>
            <w:vAlign w:val="center"/>
          </w:tcPr>
          <w:p w14:paraId="2C049957">
            <w:pPr>
              <w:widowControl/>
              <w:jc w:val="center"/>
              <w:rPr>
                <w:rFonts w:ascii="Times New Roman" w:hAnsi="Times New Roman" w:eastAsia="仿宋_GB2312" w:cs="Times New Roman"/>
                <w:color w:val="000000"/>
                <w:kern w:val="0"/>
                <w:sz w:val="28"/>
                <w:szCs w:val="28"/>
                <w14:ligatures w14:val="none"/>
              </w:rPr>
            </w:pPr>
            <w:bookmarkStart w:id="0" w:name="OLE_LINK1"/>
            <w:bookmarkStart w:id="1" w:name="OLE_LINK2"/>
            <w:r>
              <w:rPr>
                <w:rFonts w:ascii="Times New Roman" w:hAnsi="Times New Roman" w:eastAsia="仿宋_GB2312" w:cs="Times New Roman"/>
                <w:color w:val="000000"/>
                <w:kern w:val="0"/>
                <w:sz w:val="28"/>
                <w:szCs w:val="28"/>
                <w14:ligatures w14:val="none"/>
              </w:rPr>
              <w:t>肺结核患者密切接触者</w:t>
            </w:r>
          </w:p>
          <w:p w14:paraId="33B6179D">
            <w:pPr>
              <w:widowControl/>
              <w:jc w:val="center"/>
              <w:rPr>
                <w:rFonts w:ascii="Times New Roman" w:hAnsi="Times New Roman" w:eastAsia="仿宋_GB2312" w:cs="Times New Roman"/>
                <w:color w:val="000000"/>
                <w:kern w:val="0"/>
                <w:sz w:val="28"/>
                <w:szCs w:val="28"/>
                <w14:ligatures w14:val="none"/>
              </w:rPr>
            </w:pPr>
            <w:r>
              <w:rPr>
                <w:rFonts w:ascii="Times New Roman" w:hAnsi="Times New Roman" w:eastAsia="仿宋_GB2312" w:cs="Times New Roman"/>
                <w:color w:val="000000"/>
                <w:kern w:val="0"/>
                <w:sz w:val="28"/>
                <w:szCs w:val="28"/>
                <w14:ligatures w14:val="none"/>
              </w:rPr>
              <w:t>结核病检查率</w:t>
            </w:r>
            <w:bookmarkEnd w:id="0"/>
            <w:bookmarkEnd w:id="1"/>
          </w:p>
        </w:tc>
        <w:tc>
          <w:tcPr>
            <w:tcW w:w="945" w:type="pct"/>
            <w:tcBorders>
              <w:top w:val="nil"/>
              <w:left w:val="nil"/>
              <w:bottom w:val="single" w:color="auto" w:sz="4" w:space="0"/>
              <w:right w:val="single" w:color="auto" w:sz="4" w:space="0"/>
            </w:tcBorders>
            <w:vAlign w:val="center"/>
          </w:tcPr>
          <w:p w14:paraId="29D344C0">
            <w:pPr>
              <w:widowControl/>
              <w:jc w:val="center"/>
              <w:rPr>
                <w:rFonts w:ascii="Times New Roman" w:hAnsi="Times New Roman" w:eastAsia="仿宋_GB2312" w:cs="Times New Roman"/>
                <w:color w:val="000000"/>
                <w:kern w:val="0"/>
                <w:sz w:val="28"/>
                <w:szCs w:val="28"/>
                <w14:ligatures w14:val="none"/>
              </w:rPr>
            </w:pPr>
            <w:r>
              <w:rPr>
                <w:rFonts w:ascii="Times New Roman" w:hAnsi="Times New Roman" w:eastAsia="仿宋_GB2312" w:cs="Times New Roman"/>
                <w:color w:val="000000"/>
                <w:kern w:val="0"/>
                <w:sz w:val="28"/>
                <w:szCs w:val="28"/>
                <w14:ligatures w14:val="none"/>
              </w:rPr>
              <w:t>≥80%</w:t>
            </w:r>
          </w:p>
        </w:tc>
        <w:tc>
          <w:tcPr>
            <w:tcW w:w="948" w:type="pct"/>
            <w:tcBorders>
              <w:top w:val="nil"/>
              <w:left w:val="nil"/>
              <w:bottom w:val="single" w:color="auto" w:sz="4" w:space="0"/>
              <w:right w:val="single" w:color="auto" w:sz="4" w:space="0"/>
            </w:tcBorders>
            <w:vAlign w:val="center"/>
          </w:tcPr>
          <w:p w14:paraId="259F980C">
            <w:pPr>
              <w:widowControl/>
              <w:jc w:val="center"/>
              <w:rPr>
                <w:rFonts w:ascii="Times New Roman" w:hAnsi="Times New Roman" w:eastAsia="仿宋_GB2312" w:cs="Times New Roman"/>
                <w:color w:val="000000"/>
                <w:kern w:val="0"/>
                <w:sz w:val="28"/>
                <w:szCs w:val="28"/>
                <w14:ligatures w14:val="none"/>
              </w:rPr>
            </w:pPr>
            <w:r>
              <w:rPr>
                <w:rFonts w:ascii="Times New Roman" w:hAnsi="Times New Roman" w:eastAsia="仿宋_GB2312" w:cs="Times New Roman"/>
                <w:color w:val="000000"/>
                <w:kern w:val="0"/>
                <w:sz w:val="28"/>
                <w:szCs w:val="28"/>
                <w14:ligatures w14:val="none"/>
              </w:rPr>
              <w:t>≥90%</w:t>
            </w:r>
          </w:p>
        </w:tc>
      </w:tr>
      <w:tr w14:paraId="316209C8">
        <w:tblPrEx>
          <w:tblCellMar>
            <w:top w:w="15" w:type="dxa"/>
            <w:left w:w="108" w:type="dxa"/>
            <w:bottom w:w="0" w:type="dxa"/>
            <w:right w:w="108" w:type="dxa"/>
          </w:tblCellMar>
        </w:tblPrEx>
        <w:trPr>
          <w:trHeight w:val="285" w:hRule="atLeast"/>
          <w:jc w:val="center"/>
        </w:trPr>
        <w:tc>
          <w:tcPr>
            <w:tcW w:w="437" w:type="pct"/>
            <w:vMerge w:val="continue"/>
            <w:tcBorders>
              <w:top w:val="nil"/>
              <w:left w:val="single" w:color="auto" w:sz="4" w:space="0"/>
              <w:bottom w:val="single" w:color="auto" w:sz="4" w:space="0"/>
              <w:right w:val="single" w:color="auto" w:sz="4" w:space="0"/>
            </w:tcBorders>
            <w:vAlign w:val="center"/>
          </w:tcPr>
          <w:p w14:paraId="2B3CF3AA">
            <w:pPr>
              <w:widowControl/>
              <w:jc w:val="center"/>
              <w:rPr>
                <w:rFonts w:ascii="Times New Roman" w:hAnsi="Times New Roman" w:eastAsia="仿宋_GB2312" w:cs="Times New Roman"/>
                <w:color w:val="000000"/>
                <w:kern w:val="0"/>
                <w:sz w:val="28"/>
                <w:szCs w:val="28"/>
                <w14:ligatures w14:val="none"/>
              </w:rPr>
            </w:pPr>
          </w:p>
        </w:tc>
        <w:tc>
          <w:tcPr>
            <w:tcW w:w="562" w:type="pct"/>
            <w:vMerge w:val="continue"/>
            <w:tcBorders>
              <w:top w:val="nil"/>
              <w:left w:val="single" w:color="auto" w:sz="4" w:space="0"/>
              <w:bottom w:val="single" w:color="000000" w:sz="4" w:space="0"/>
              <w:right w:val="single" w:color="auto" w:sz="4" w:space="0"/>
            </w:tcBorders>
            <w:vAlign w:val="center"/>
          </w:tcPr>
          <w:p w14:paraId="53D52CA1">
            <w:pPr>
              <w:widowControl/>
              <w:jc w:val="center"/>
              <w:rPr>
                <w:rFonts w:ascii="Times New Roman" w:hAnsi="Times New Roman" w:eastAsia="仿宋_GB2312" w:cs="Times New Roman"/>
                <w:color w:val="000000"/>
                <w:kern w:val="0"/>
                <w:sz w:val="28"/>
                <w:szCs w:val="28"/>
                <w14:ligatures w14:val="none"/>
              </w:rPr>
            </w:pPr>
          </w:p>
        </w:tc>
        <w:tc>
          <w:tcPr>
            <w:tcW w:w="2107" w:type="pct"/>
            <w:tcBorders>
              <w:top w:val="nil"/>
              <w:left w:val="nil"/>
              <w:bottom w:val="single" w:color="auto" w:sz="4" w:space="0"/>
              <w:right w:val="single" w:color="auto" w:sz="4" w:space="0"/>
            </w:tcBorders>
            <w:vAlign w:val="center"/>
          </w:tcPr>
          <w:p w14:paraId="3558721E">
            <w:pPr>
              <w:widowControl/>
              <w:jc w:val="center"/>
              <w:rPr>
                <w:rFonts w:ascii="Times New Roman" w:hAnsi="Times New Roman" w:eastAsia="仿宋_GB2312" w:cs="Times New Roman"/>
                <w:color w:val="000000"/>
                <w:kern w:val="0"/>
                <w:sz w:val="28"/>
                <w:szCs w:val="28"/>
                <w14:ligatures w14:val="none"/>
              </w:rPr>
            </w:pPr>
            <w:r>
              <w:rPr>
                <w:rFonts w:ascii="Times New Roman" w:hAnsi="Times New Roman" w:eastAsia="仿宋_GB2312" w:cs="Times New Roman"/>
                <w:color w:val="000000"/>
                <w:kern w:val="0"/>
                <w:sz w:val="28"/>
                <w:szCs w:val="28"/>
                <w14:ligatures w14:val="none"/>
              </w:rPr>
              <w:t>肺结核患者中的</w:t>
            </w:r>
          </w:p>
          <w:p w14:paraId="56352DB3">
            <w:pPr>
              <w:widowControl/>
              <w:jc w:val="center"/>
              <w:rPr>
                <w:rFonts w:ascii="Times New Roman" w:hAnsi="Times New Roman" w:eastAsia="仿宋_GB2312" w:cs="Times New Roman"/>
                <w:color w:val="000000"/>
                <w:kern w:val="0"/>
                <w:sz w:val="28"/>
                <w:szCs w:val="28"/>
                <w14:ligatures w14:val="none"/>
              </w:rPr>
            </w:pPr>
            <w:r>
              <w:rPr>
                <w:rFonts w:ascii="Times New Roman" w:hAnsi="Times New Roman" w:eastAsia="仿宋_GB2312" w:cs="Times New Roman"/>
                <w:color w:val="000000"/>
                <w:kern w:val="0"/>
                <w:sz w:val="28"/>
                <w:szCs w:val="28"/>
                <w14:ligatures w14:val="none"/>
              </w:rPr>
              <w:t>病原学阳性率</w:t>
            </w:r>
            <w:r>
              <w:rPr>
                <w:rFonts w:ascii="Times New Roman" w:hAnsi="Times New Roman" w:eastAsia="仿宋_GB2312" w:cs="Times New Roman"/>
                <w:color w:val="000000"/>
                <w:kern w:val="0"/>
                <w:sz w:val="28"/>
                <w:szCs w:val="28"/>
                <w:vertAlign w:val="superscript"/>
                <w14:ligatures w14:val="none"/>
              </w:rPr>
              <w:t>*</w:t>
            </w:r>
          </w:p>
        </w:tc>
        <w:tc>
          <w:tcPr>
            <w:tcW w:w="945" w:type="pct"/>
            <w:tcBorders>
              <w:top w:val="nil"/>
              <w:left w:val="nil"/>
              <w:bottom w:val="single" w:color="auto" w:sz="4" w:space="0"/>
              <w:right w:val="single" w:color="auto" w:sz="4" w:space="0"/>
            </w:tcBorders>
            <w:vAlign w:val="center"/>
          </w:tcPr>
          <w:p w14:paraId="23777F4F">
            <w:pPr>
              <w:widowControl/>
              <w:jc w:val="center"/>
              <w:rPr>
                <w:rFonts w:ascii="Times New Roman" w:hAnsi="Times New Roman" w:eastAsia="仿宋_GB2312" w:cs="Times New Roman"/>
                <w:kern w:val="0"/>
                <w:sz w:val="28"/>
                <w:szCs w:val="28"/>
                <w14:ligatures w14:val="none"/>
              </w:rPr>
            </w:pPr>
            <w:r>
              <w:rPr>
                <w:rFonts w:ascii="Times New Roman" w:hAnsi="Times New Roman" w:eastAsia="仿宋_GB2312" w:cs="Times New Roman"/>
                <w:kern w:val="0"/>
                <w:sz w:val="28"/>
                <w:szCs w:val="28"/>
                <w14:ligatures w14:val="none"/>
              </w:rPr>
              <w:t>≥</w:t>
            </w:r>
            <w:r>
              <w:rPr>
                <w:rFonts w:ascii="Times New Roman" w:hAnsi="Times New Roman" w:eastAsia="仿宋_GB2312" w:cs="Times New Roman"/>
                <w:kern w:val="0"/>
                <w:sz w:val="28"/>
                <w:szCs w:val="28"/>
                <w:lang w:val="en"/>
                <w14:ligatures w14:val="none"/>
              </w:rPr>
              <w:t>65</w:t>
            </w:r>
            <w:r>
              <w:rPr>
                <w:rFonts w:ascii="Times New Roman" w:hAnsi="Times New Roman" w:eastAsia="仿宋_GB2312" w:cs="Times New Roman"/>
                <w:kern w:val="0"/>
                <w:sz w:val="28"/>
                <w:szCs w:val="28"/>
                <w14:ligatures w14:val="none"/>
              </w:rPr>
              <w:t>%</w:t>
            </w:r>
          </w:p>
        </w:tc>
        <w:tc>
          <w:tcPr>
            <w:tcW w:w="948" w:type="pct"/>
            <w:tcBorders>
              <w:top w:val="nil"/>
              <w:left w:val="nil"/>
              <w:bottom w:val="single" w:color="auto" w:sz="4" w:space="0"/>
              <w:right w:val="single" w:color="auto" w:sz="4" w:space="0"/>
            </w:tcBorders>
            <w:vAlign w:val="center"/>
          </w:tcPr>
          <w:p w14:paraId="58208A69">
            <w:pPr>
              <w:widowControl/>
              <w:jc w:val="center"/>
              <w:rPr>
                <w:rFonts w:ascii="Times New Roman" w:hAnsi="Times New Roman" w:eastAsia="仿宋_GB2312" w:cs="Times New Roman"/>
                <w:kern w:val="0"/>
                <w:sz w:val="28"/>
                <w:szCs w:val="28"/>
                <w14:ligatures w14:val="none"/>
              </w:rPr>
            </w:pPr>
            <w:r>
              <w:rPr>
                <w:rFonts w:ascii="Times New Roman" w:hAnsi="Times New Roman" w:eastAsia="仿宋_GB2312" w:cs="Times New Roman"/>
                <w:kern w:val="0"/>
                <w:sz w:val="28"/>
                <w:szCs w:val="28"/>
                <w14:ligatures w14:val="none"/>
              </w:rPr>
              <w:t>≥7</w:t>
            </w:r>
            <w:r>
              <w:rPr>
                <w:rFonts w:ascii="Times New Roman" w:hAnsi="Times New Roman" w:eastAsia="仿宋_GB2312" w:cs="Times New Roman"/>
                <w:kern w:val="0"/>
                <w:sz w:val="28"/>
                <w:szCs w:val="28"/>
                <w:lang w:val="en"/>
                <w14:ligatures w14:val="none"/>
              </w:rPr>
              <w:t>0</w:t>
            </w:r>
            <w:r>
              <w:rPr>
                <w:rFonts w:ascii="Times New Roman" w:hAnsi="Times New Roman" w:eastAsia="仿宋_GB2312" w:cs="Times New Roman"/>
                <w:kern w:val="0"/>
                <w:sz w:val="28"/>
                <w:szCs w:val="28"/>
                <w14:ligatures w14:val="none"/>
              </w:rPr>
              <w:t>%</w:t>
            </w:r>
          </w:p>
        </w:tc>
      </w:tr>
      <w:tr w14:paraId="0FB2657D">
        <w:tblPrEx>
          <w:tblCellMar>
            <w:top w:w="15" w:type="dxa"/>
            <w:left w:w="108" w:type="dxa"/>
            <w:bottom w:w="0" w:type="dxa"/>
            <w:right w:w="108" w:type="dxa"/>
          </w:tblCellMar>
        </w:tblPrEx>
        <w:trPr>
          <w:trHeight w:val="285" w:hRule="atLeast"/>
          <w:jc w:val="center"/>
        </w:trPr>
        <w:tc>
          <w:tcPr>
            <w:tcW w:w="437" w:type="pct"/>
            <w:vMerge w:val="continue"/>
            <w:tcBorders>
              <w:top w:val="nil"/>
              <w:left w:val="single" w:color="auto" w:sz="4" w:space="0"/>
              <w:bottom w:val="single" w:color="auto" w:sz="4" w:space="0"/>
              <w:right w:val="single" w:color="auto" w:sz="4" w:space="0"/>
            </w:tcBorders>
            <w:vAlign w:val="center"/>
          </w:tcPr>
          <w:p w14:paraId="6D3089AA">
            <w:pPr>
              <w:widowControl/>
              <w:jc w:val="center"/>
              <w:rPr>
                <w:rFonts w:ascii="Times New Roman" w:hAnsi="Times New Roman" w:eastAsia="仿宋_GB2312" w:cs="Times New Roman"/>
                <w:color w:val="000000"/>
                <w:kern w:val="0"/>
                <w:sz w:val="28"/>
                <w:szCs w:val="28"/>
                <w14:ligatures w14:val="none"/>
              </w:rPr>
            </w:pPr>
          </w:p>
        </w:tc>
        <w:tc>
          <w:tcPr>
            <w:tcW w:w="562" w:type="pct"/>
            <w:vMerge w:val="continue"/>
            <w:tcBorders>
              <w:top w:val="nil"/>
              <w:left w:val="single" w:color="auto" w:sz="4" w:space="0"/>
              <w:bottom w:val="single" w:color="000000" w:sz="4" w:space="0"/>
              <w:right w:val="single" w:color="auto" w:sz="4" w:space="0"/>
            </w:tcBorders>
            <w:vAlign w:val="center"/>
          </w:tcPr>
          <w:p w14:paraId="38484BBB">
            <w:pPr>
              <w:widowControl/>
              <w:jc w:val="center"/>
              <w:rPr>
                <w:rFonts w:ascii="Times New Roman" w:hAnsi="Times New Roman" w:eastAsia="仿宋_GB2312" w:cs="Times New Roman"/>
                <w:color w:val="000000"/>
                <w:kern w:val="0"/>
                <w:sz w:val="28"/>
                <w:szCs w:val="28"/>
                <w14:ligatures w14:val="none"/>
              </w:rPr>
            </w:pPr>
          </w:p>
        </w:tc>
        <w:tc>
          <w:tcPr>
            <w:tcW w:w="2107" w:type="pct"/>
            <w:tcBorders>
              <w:top w:val="nil"/>
              <w:left w:val="nil"/>
              <w:bottom w:val="single" w:color="auto" w:sz="4" w:space="0"/>
              <w:right w:val="single" w:color="auto" w:sz="4" w:space="0"/>
            </w:tcBorders>
            <w:vAlign w:val="center"/>
          </w:tcPr>
          <w:p w14:paraId="3F934365">
            <w:pPr>
              <w:widowControl/>
              <w:jc w:val="center"/>
              <w:rPr>
                <w:rFonts w:ascii="Times New Roman" w:hAnsi="Times New Roman" w:eastAsia="仿宋_GB2312" w:cs="Times New Roman"/>
                <w:color w:val="000000"/>
                <w:kern w:val="0"/>
                <w:sz w:val="28"/>
                <w:szCs w:val="28"/>
                <w14:ligatures w14:val="none"/>
              </w:rPr>
            </w:pPr>
            <w:r>
              <w:rPr>
                <w:rFonts w:ascii="Times New Roman" w:hAnsi="Times New Roman" w:eastAsia="仿宋_GB2312" w:cs="Times New Roman"/>
                <w:color w:val="000000"/>
                <w:kern w:val="0"/>
                <w:sz w:val="28"/>
                <w:szCs w:val="28"/>
                <w14:ligatures w14:val="none"/>
              </w:rPr>
              <w:t>病原学阳性肺结核患者</w:t>
            </w:r>
          </w:p>
          <w:p w14:paraId="6C039C0E">
            <w:pPr>
              <w:widowControl/>
              <w:jc w:val="center"/>
              <w:rPr>
                <w:rFonts w:ascii="Times New Roman" w:hAnsi="Times New Roman" w:eastAsia="仿宋_GB2312" w:cs="Times New Roman"/>
                <w:color w:val="000000"/>
                <w:kern w:val="0"/>
                <w:sz w:val="28"/>
                <w:szCs w:val="28"/>
                <w14:ligatures w14:val="none"/>
              </w:rPr>
            </w:pPr>
            <w:r>
              <w:rPr>
                <w:rFonts w:ascii="Times New Roman" w:hAnsi="Times New Roman" w:eastAsia="仿宋_GB2312" w:cs="Times New Roman"/>
                <w:color w:val="000000"/>
                <w:kern w:val="0"/>
                <w:sz w:val="28"/>
                <w:szCs w:val="28"/>
                <w14:ligatures w14:val="none"/>
              </w:rPr>
              <w:t>耐药检测率</w:t>
            </w:r>
          </w:p>
        </w:tc>
        <w:tc>
          <w:tcPr>
            <w:tcW w:w="945" w:type="pct"/>
            <w:tcBorders>
              <w:top w:val="nil"/>
              <w:left w:val="nil"/>
              <w:bottom w:val="single" w:color="auto" w:sz="4" w:space="0"/>
              <w:right w:val="single" w:color="auto" w:sz="4" w:space="0"/>
            </w:tcBorders>
            <w:vAlign w:val="center"/>
          </w:tcPr>
          <w:p w14:paraId="3FB9F371">
            <w:pPr>
              <w:widowControl/>
              <w:jc w:val="center"/>
              <w:rPr>
                <w:rFonts w:ascii="Times New Roman" w:hAnsi="Times New Roman" w:eastAsia="仿宋_GB2312" w:cs="Times New Roman"/>
                <w:color w:val="000000"/>
                <w:kern w:val="0"/>
                <w:sz w:val="28"/>
                <w:szCs w:val="28"/>
                <w14:ligatures w14:val="none"/>
              </w:rPr>
            </w:pPr>
            <w:r>
              <w:rPr>
                <w:rFonts w:ascii="Times New Roman" w:hAnsi="Times New Roman" w:eastAsia="仿宋_GB2312" w:cs="Times New Roman"/>
                <w:color w:val="000000"/>
                <w:kern w:val="0"/>
                <w:sz w:val="28"/>
                <w:szCs w:val="28"/>
                <w14:ligatures w14:val="none"/>
              </w:rPr>
              <w:t>≥90%</w:t>
            </w:r>
          </w:p>
        </w:tc>
        <w:tc>
          <w:tcPr>
            <w:tcW w:w="948" w:type="pct"/>
            <w:tcBorders>
              <w:top w:val="nil"/>
              <w:left w:val="nil"/>
              <w:bottom w:val="single" w:color="auto" w:sz="4" w:space="0"/>
              <w:right w:val="single" w:color="auto" w:sz="4" w:space="0"/>
            </w:tcBorders>
            <w:vAlign w:val="center"/>
          </w:tcPr>
          <w:p w14:paraId="549DA926">
            <w:pPr>
              <w:widowControl/>
              <w:jc w:val="center"/>
              <w:rPr>
                <w:rFonts w:ascii="Times New Roman" w:hAnsi="Times New Roman" w:eastAsia="仿宋_GB2312" w:cs="Times New Roman"/>
                <w:color w:val="000000"/>
                <w:kern w:val="0"/>
                <w:sz w:val="28"/>
                <w:szCs w:val="28"/>
                <w14:ligatures w14:val="none"/>
              </w:rPr>
            </w:pPr>
            <w:r>
              <w:rPr>
                <w:rFonts w:ascii="Times New Roman" w:hAnsi="Times New Roman" w:eastAsia="仿宋_GB2312" w:cs="Times New Roman"/>
                <w:color w:val="000000"/>
                <w:kern w:val="0"/>
                <w:sz w:val="28"/>
                <w:szCs w:val="28"/>
                <w14:ligatures w14:val="none"/>
              </w:rPr>
              <w:t>≥95%</w:t>
            </w:r>
          </w:p>
        </w:tc>
      </w:tr>
      <w:tr w14:paraId="3949F590">
        <w:tblPrEx>
          <w:tblCellMar>
            <w:top w:w="15" w:type="dxa"/>
            <w:left w:w="108" w:type="dxa"/>
            <w:bottom w:w="0" w:type="dxa"/>
            <w:right w:w="108" w:type="dxa"/>
          </w:tblCellMar>
        </w:tblPrEx>
        <w:trPr>
          <w:trHeight w:val="285" w:hRule="atLeast"/>
          <w:jc w:val="center"/>
        </w:trPr>
        <w:tc>
          <w:tcPr>
            <w:tcW w:w="437" w:type="pct"/>
            <w:vMerge w:val="continue"/>
            <w:tcBorders>
              <w:top w:val="nil"/>
              <w:left w:val="single" w:color="auto" w:sz="4" w:space="0"/>
              <w:bottom w:val="single" w:color="auto" w:sz="4" w:space="0"/>
              <w:right w:val="single" w:color="auto" w:sz="4" w:space="0"/>
            </w:tcBorders>
            <w:vAlign w:val="center"/>
          </w:tcPr>
          <w:p w14:paraId="2F16D376">
            <w:pPr>
              <w:widowControl/>
              <w:jc w:val="center"/>
              <w:rPr>
                <w:rFonts w:ascii="Times New Roman" w:hAnsi="Times New Roman" w:eastAsia="仿宋_GB2312" w:cs="Times New Roman"/>
                <w:color w:val="000000"/>
                <w:kern w:val="0"/>
                <w:sz w:val="28"/>
                <w:szCs w:val="28"/>
                <w14:ligatures w14:val="none"/>
              </w:rPr>
            </w:pPr>
          </w:p>
        </w:tc>
        <w:tc>
          <w:tcPr>
            <w:tcW w:w="562" w:type="pct"/>
            <w:vMerge w:val="restart"/>
            <w:tcBorders>
              <w:top w:val="nil"/>
              <w:left w:val="single" w:color="auto" w:sz="4" w:space="0"/>
              <w:bottom w:val="single" w:color="000000" w:sz="4" w:space="0"/>
              <w:right w:val="single" w:color="auto" w:sz="4" w:space="0"/>
            </w:tcBorders>
            <w:vAlign w:val="center"/>
          </w:tcPr>
          <w:p w14:paraId="4D0DE197">
            <w:pPr>
              <w:widowControl/>
              <w:jc w:val="center"/>
              <w:rPr>
                <w:rFonts w:ascii="Times New Roman" w:hAnsi="Times New Roman" w:eastAsia="仿宋_GB2312" w:cs="Times New Roman"/>
                <w:color w:val="000000"/>
                <w:kern w:val="0"/>
                <w:sz w:val="28"/>
                <w:szCs w:val="28"/>
                <w14:ligatures w14:val="none"/>
              </w:rPr>
            </w:pPr>
            <w:r>
              <w:rPr>
                <w:rFonts w:ascii="Times New Roman" w:hAnsi="Times New Roman" w:eastAsia="仿宋_GB2312" w:cs="Times New Roman"/>
                <w:color w:val="000000"/>
                <w:kern w:val="0"/>
                <w:sz w:val="28"/>
                <w:szCs w:val="28"/>
                <w14:ligatures w14:val="none"/>
              </w:rPr>
              <w:t>患者</w:t>
            </w:r>
          </w:p>
          <w:p w14:paraId="39BBBF2C">
            <w:pPr>
              <w:widowControl/>
              <w:jc w:val="center"/>
              <w:rPr>
                <w:rFonts w:ascii="Times New Roman" w:hAnsi="Times New Roman" w:eastAsia="仿宋_GB2312" w:cs="Times New Roman"/>
                <w:color w:val="000000"/>
                <w:kern w:val="0"/>
                <w:sz w:val="28"/>
                <w:szCs w:val="28"/>
                <w14:ligatures w14:val="none"/>
              </w:rPr>
            </w:pPr>
            <w:r>
              <w:rPr>
                <w:rFonts w:ascii="Times New Roman" w:hAnsi="Times New Roman" w:eastAsia="仿宋_GB2312" w:cs="Times New Roman"/>
                <w:color w:val="000000"/>
                <w:kern w:val="0"/>
                <w:sz w:val="28"/>
                <w:szCs w:val="28"/>
                <w14:ligatures w14:val="none"/>
              </w:rPr>
              <w:t>治疗管理</w:t>
            </w:r>
          </w:p>
        </w:tc>
        <w:tc>
          <w:tcPr>
            <w:tcW w:w="2107" w:type="pct"/>
            <w:tcBorders>
              <w:top w:val="nil"/>
              <w:left w:val="nil"/>
              <w:bottom w:val="single" w:color="auto" w:sz="4" w:space="0"/>
              <w:right w:val="single" w:color="auto" w:sz="4" w:space="0"/>
            </w:tcBorders>
            <w:vAlign w:val="center"/>
          </w:tcPr>
          <w:p w14:paraId="49230E70">
            <w:pPr>
              <w:widowControl/>
              <w:jc w:val="center"/>
              <w:rPr>
                <w:rFonts w:ascii="Times New Roman" w:hAnsi="Times New Roman" w:eastAsia="仿宋_GB2312" w:cs="Times New Roman"/>
                <w:color w:val="000000"/>
                <w:kern w:val="0"/>
                <w:sz w:val="28"/>
                <w:szCs w:val="28"/>
                <w14:ligatures w14:val="none"/>
              </w:rPr>
            </w:pPr>
            <w:r>
              <w:rPr>
                <w:rFonts w:ascii="Times New Roman" w:hAnsi="Times New Roman" w:eastAsia="仿宋_GB2312" w:cs="Times New Roman"/>
                <w:color w:val="000000"/>
                <w:kern w:val="0"/>
                <w:sz w:val="28"/>
                <w:szCs w:val="28"/>
                <w14:ligatures w14:val="none"/>
              </w:rPr>
              <w:t>肺结核患者标准化</w:t>
            </w:r>
          </w:p>
          <w:p w14:paraId="3CE52CDF">
            <w:pPr>
              <w:widowControl/>
              <w:jc w:val="center"/>
              <w:rPr>
                <w:rFonts w:ascii="Times New Roman" w:hAnsi="Times New Roman" w:eastAsia="仿宋_GB2312" w:cs="Times New Roman"/>
                <w:color w:val="000000"/>
                <w:kern w:val="0"/>
                <w:sz w:val="28"/>
                <w:szCs w:val="28"/>
                <w14:ligatures w14:val="none"/>
              </w:rPr>
            </w:pPr>
            <w:r>
              <w:rPr>
                <w:rFonts w:ascii="Times New Roman" w:hAnsi="Times New Roman" w:eastAsia="仿宋_GB2312" w:cs="Times New Roman"/>
                <w:color w:val="000000"/>
                <w:kern w:val="0"/>
                <w:sz w:val="28"/>
                <w:szCs w:val="28"/>
                <w14:ligatures w14:val="none"/>
              </w:rPr>
              <w:t>治疗方案使用率</w:t>
            </w:r>
          </w:p>
        </w:tc>
        <w:tc>
          <w:tcPr>
            <w:tcW w:w="945" w:type="pct"/>
            <w:tcBorders>
              <w:top w:val="nil"/>
              <w:left w:val="nil"/>
              <w:bottom w:val="single" w:color="auto" w:sz="4" w:space="0"/>
              <w:right w:val="single" w:color="auto" w:sz="4" w:space="0"/>
            </w:tcBorders>
            <w:vAlign w:val="center"/>
          </w:tcPr>
          <w:p w14:paraId="09E73DFF">
            <w:pPr>
              <w:widowControl/>
              <w:jc w:val="center"/>
              <w:rPr>
                <w:rFonts w:ascii="Times New Roman" w:hAnsi="Times New Roman" w:eastAsia="仿宋_GB2312" w:cs="Times New Roman"/>
                <w:color w:val="000000"/>
                <w:kern w:val="0"/>
                <w:sz w:val="28"/>
                <w:szCs w:val="28"/>
                <w14:ligatures w14:val="none"/>
              </w:rPr>
            </w:pPr>
            <w:r>
              <w:rPr>
                <w:rFonts w:ascii="Times New Roman" w:hAnsi="Times New Roman" w:eastAsia="仿宋_GB2312" w:cs="Times New Roman"/>
                <w:color w:val="000000"/>
                <w:kern w:val="0"/>
                <w:sz w:val="28"/>
                <w:szCs w:val="28"/>
                <w14:ligatures w14:val="none"/>
              </w:rPr>
              <w:t>≥85%</w:t>
            </w:r>
          </w:p>
        </w:tc>
        <w:tc>
          <w:tcPr>
            <w:tcW w:w="948" w:type="pct"/>
            <w:tcBorders>
              <w:top w:val="nil"/>
              <w:left w:val="nil"/>
              <w:bottom w:val="single" w:color="auto" w:sz="4" w:space="0"/>
              <w:right w:val="single" w:color="auto" w:sz="4" w:space="0"/>
            </w:tcBorders>
            <w:vAlign w:val="center"/>
          </w:tcPr>
          <w:p w14:paraId="6A83A9D9">
            <w:pPr>
              <w:widowControl/>
              <w:jc w:val="center"/>
              <w:rPr>
                <w:rFonts w:ascii="Times New Roman" w:hAnsi="Times New Roman" w:eastAsia="仿宋_GB2312" w:cs="Times New Roman"/>
                <w:color w:val="000000"/>
                <w:kern w:val="0"/>
                <w:sz w:val="28"/>
                <w:szCs w:val="28"/>
                <w:lang w:val="en"/>
                <w14:ligatures w14:val="none"/>
              </w:rPr>
            </w:pPr>
            <w:r>
              <w:rPr>
                <w:rFonts w:ascii="Times New Roman" w:hAnsi="Times New Roman" w:eastAsia="仿宋_GB2312" w:cs="Times New Roman"/>
                <w:color w:val="000000"/>
                <w:kern w:val="0"/>
                <w:sz w:val="28"/>
                <w:szCs w:val="28"/>
                <w14:ligatures w14:val="none"/>
              </w:rPr>
              <w:t>≥90%</w:t>
            </w:r>
            <w:r>
              <w:rPr>
                <w:rFonts w:ascii="Times New Roman" w:hAnsi="Times New Roman" w:eastAsia="仿宋_GB2312" w:cs="Times New Roman"/>
                <w:color w:val="000000"/>
                <w:kern w:val="0"/>
                <w:sz w:val="28"/>
                <w:szCs w:val="28"/>
                <w:lang w:val="en"/>
                <w14:ligatures w14:val="none"/>
              </w:rPr>
              <w:t xml:space="preserve">  </w:t>
            </w:r>
          </w:p>
        </w:tc>
      </w:tr>
      <w:tr w14:paraId="3D9DCA6E">
        <w:tblPrEx>
          <w:tblCellMar>
            <w:top w:w="15" w:type="dxa"/>
            <w:left w:w="108" w:type="dxa"/>
            <w:bottom w:w="0" w:type="dxa"/>
            <w:right w:w="108" w:type="dxa"/>
          </w:tblCellMar>
        </w:tblPrEx>
        <w:trPr>
          <w:trHeight w:val="559" w:hRule="atLeast"/>
          <w:jc w:val="center"/>
        </w:trPr>
        <w:tc>
          <w:tcPr>
            <w:tcW w:w="437" w:type="pct"/>
            <w:vMerge w:val="continue"/>
            <w:tcBorders>
              <w:top w:val="nil"/>
              <w:left w:val="single" w:color="auto" w:sz="4" w:space="0"/>
              <w:bottom w:val="single" w:color="auto" w:sz="4" w:space="0"/>
              <w:right w:val="single" w:color="auto" w:sz="4" w:space="0"/>
            </w:tcBorders>
            <w:vAlign w:val="center"/>
          </w:tcPr>
          <w:p w14:paraId="6526C533">
            <w:pPr>
              <w:widowControl/>
              <w:jc w:val="center"/>
              <w:rPr>
                <w:rFonts w:ascii="Times New Roman" w:hAnsi="Times New Roman" w:eastAsia="仿宋_GB2312" w:cs="Times New Roman"/>
                <w:color w:val="000000"/>
                <w:kern w:val="0"/>
                <w:sz w:val="28"/>
                <w:szCs w:val="28"/>
                <w14:ligatures w14:val="none"/>
              </w:rPr>
            </w:pPr>
          </w:p>
        </w:tc>
        <w:tc>
          <w:tcPr>
            <w:tcW w:w="562" w:type="pct"/>
            <w:vMerge w:val="continue"/>
            <w:tcBorders>
              <w:top w:val="nil"/>
              <w:left w:val="single" w:color="auto" w:sz="4" w:space="0"/>
              <w:bottom w:val="single" w:color="000000" w:sz="4" w:space="0"/>
              <w:right w:val="single" w:color="auto" w:sz="4" w:space="0"/>
            </w:tcBorders>
            <w:vAlign w:val="center"/>
          </w:tcPr>
          <w:p w14:paraId="1B4D6214">
            <w:pPr>
              <w:widowControl/>
              <w:jc w:val="center"/>
              <w:rPr>
                <w:rFonts w:ascii="Times New Roman" w:hAnsi="Times New Roman" w:eastAsia="仿宋_GB2312" w:cs="Times New Roman"/>
                <w:color w:val="000000"/>
                <w:kern w:val="0"/>
                <w:sz w:val="28"/>
                <w:szCs w:val="28"/>
                <w14:ligatures w14:val="none"/>
              </w:rPr>
            </w:pPr>
          </w:p>
        </w:tc>
        <w:tc>
          <w:tcPr>
            <w:tcW w:w="2107" w:type="pct"/>
            <w:tcBorders>
              <w:top w:val="nil"/>
              <w:left w:val="nil"/>
              <w:bottom w:val="single" w:color="auto" w:sz="4" w:space="0"/>
              <w:right w:val="single" w:color="auto" w:sz="4" w:space="0"/>
            </w:tcBorders>
            <w:vAlign w:val="center"/>
          </w:tcPr>
          <w:p w14:paraId="13A907D8">
            <w:pPr>
              <w:widowControl/>
              <w:jc w:val="center"/>
              <w:rPr>
                <w:rFonts w:ascii="Times New Roman" w:hAnsi="Times New Roman" w:eastAsia="仿宋_GB2312" w:cs="Times New Roman"/>
                <w:color w:val="000000"/>
                <w:kern w:val="0"/>
                <w:sz w:val="28"/>
                <w:szCs w:val="28"/>
                <w14:ligatures w14:val="none"/>
              </w:rPr>
            </w:pPr>
            <w:r>
              <w:rPr>
                <w:rFonts w:ascii="Times New Roman" w:hAnsi="Times New Roman" w:eastAsia="仿宋_GB2312" w:cs="Times New Roman"/>
                <w:color w:val="000000"/>
                <w:kern w:val="0"/>
                <w:sz w:val="28"/>
                <w:szCs w:val="28"/>
                <w14:ligatures w14:val="none"/>
              </w:rPr>
              <w:t>利福平敏感肺结核患者</w:t>
            </w:r>
          </w:p>
          <w:p w14:paraId="518BAE3A">
            <w:pPr>
              <w:widowControl/>
              <w:jc w:val="center"/>
              <w:rPr>
                <w:rFonts w:ascii="Times New Roman" w:hAnsi="Times New Roman" w:eastAsia="仿宋_GB2312" w:cs="Times New Roman"/>
                <w:color w:val="000000"/>
                <w:kern w:val="0"/>
                <w:sz w:val="28"/>
                <w:szCs w:val="28"/>
                <w14:ligatures w14:val="none"/>
              </w:rPr>
            </w:pPr>
            <w:r>
              <w:rPr>
                <w:rFonts w:ascii="Times New Roman" w:hAnsi="Times New Roman" w:eastAsia="仿宋_GB2312" w:cs="Times New Roman"/>
                <w:color w:val="000000"/>
                <w:kern w:val="0"/>
                <w:sz w:val="28"/>
                <w:szCs w:val="28"/>
                <w14:ligatures w14:val="none"/>
              </w:rPr>
              <w:t>固定剂量复合制剂使用率</w:t>
            </w:r>
          </w:p>
        </w:tc>
        <w:tc>
          <w:tcPr>
            <w:tcW w:w="945" w:type="pct"/>
            <w:tcBorders>
              <w:top w:val="nil"/>
              <w:left w:val="nil"/>
              <w:bottom w:val="single" w:color="auto" w:sz="4" w:space="0"/>
              <w:right w:val="single" w:color="auto" w:sz="4" w:space="0"/>
            </w:tcBorders>
            <w:vAlign w:val="center"/>
          </w:tcPr>
          <w:p w14:paraId="67496A53">
            <w:pPr>
              <w:widowControl/>
              <w:jc w:val="center"/>
              <w:rPr>
                <w:rFonts w:ascii="Times New Roman" w:hAnsi="Times New Roman" w:eastAsia="仿宋_GB2312" w:cs="Times New Roman"/>
                <w:color w:val="000000"/>
                <w:kern w:val="0"/>
                <w:sz w:val="28"/>
                <w:szCs w:val="28"/>
                <w14:ligatures w14:val="none"/>
              </w:rPr>
            </w:pPr>
            <w:r>
              <w:rPr>
                <w:rFonts w:ascii="Times New Roman" w:hAnsi="Times New Roman" w:eastAsia="仿宋_GB2312" w:cs="Times New Roman"/>
                <w:color w:val="000000"/>
                <w:kern w:val="0"/>
                <w:sz w:val="28"/>
                <w:szCs w:val="28"/>
                <w14:ligatures w14:val="none"/>
              </w:rPr>
              <w:t>≥65%</w:t>
            </w:r>
          </w:p>
        </w:tc>
        <w:tc>
          <w:tcPr>
            <w:tcW w:w="948" w:type="pct"/>
            <w:tcBorders>
              <w:top w:val="nil"/>
              <w:left w:val="nil"/>
              <w:bottom w:val="single" w:color="auto" w:sz="4" w:space="0"/>
              <w:right w:val="single" w:color="auto" w:sz="4" w:space="0"/>
            </w:tcBorders>
            <w:vAlign w:val="center"/>
          </w:tcPr>
          <w:p w14:paraId="50CEC6DA">
            <w:pPr>
              <w:widowControl/>
              <w:jc w:val="center"/>
              <w:rPr>
                <w:rFonts w:ascii="Times New Roman" w:hAnsi="Times New Roman" w:eastAsia="仿宋_GB2312" w:cs="Times New Roman"/>
                <w:color w:val="000000"/>
                <w:kern w:val="0"/>
                <w:sz w:val="28"/>
                <w:szCs w:val="28"/>
                <w14:ligatures w14:val="none"/>
              </w:rPr>
            </w:pPr>
            <w:r>
              <w:rPr>
                <w:rFonts w:ascii="Times New Roman" w:hAnsi="Times New Roman" w:eastAsia="仿宋_GB2312" w:cs="Times New Roman"/>
                <w:color w:val="000000"/>
                <w:kern w:val="0"/>
                <w:sz w:val="28"/>
                <w:szCs w:val="28"/>
                <w14:ligatures w14:val="none"/>
              </w:rPr>
              <w:t>≥70%</w:t>
            </w:r>
          </w:p>
        </w:tc>
      </w:tr>
      <w:tr w14:paraId="4E4B5215">
        <w:tblPrEx>
          <w:tblCellMar>
            <w:top w:w="15" w:type="dxa"/>
            <w:left w:w="108" w:type="dxa"/>
            <w:bottom w:w="0" w:type="dxa"/>
            <w:right w:w="108" w:type="dxa"/>
          </w:tblCellMar>
        </w:tblPrEx>
        <w:trPr>
          <w:trHeight w:val="285" w:hRule="atLeast"/>
          <w:jc w:val="center"/>
        </w:trPr>
        <w:tc>
          <w:tcPr>
            <w:tcW w:w="437" w:type="pct"/>
            <w:vMerge w:val="continue"/>
            <w:tcBorders>
              <w:top w:val="nil"/>
              <w:left w:val="single" w:color="auto" w:sz="4" w:space="0"/>
              <w:bottom w:val="single" w:color="auto" w:sz="4" w:space="0"/>
              <w:right w:val="single" w:color="auto" w:sz="4" w:space="0"/>
            </w:tcBorders>
            <w:vAlign w:val="center"/>
          </w:tcPr>
          <w:p w14:paraId="6261BB7D">
            <w:pPr>
              <w:widowControl/>
              <w:jc w:val="center"/>
              <w:rPr>
                <w:rFonts w:ascii="Times New Roman" w:hAnsi="Times New Roman" w:eastAsia="仿宋_GB2312" w:cs="Times New Roman"/>
                <w:color w:val="000000"/>
                <w:kern w:val="0"/>
                <w:sz w:val="28"/>
                <w:szCs w:val="28"/>
                <w14:ligatures w14:val="none"/>
              </w:rPr>
            </w:pPr>
          </w:p>
        </w:tc>
        <w:tc>
          <w:tcPr>
            <w:tcW w:w="562" w:type="pct"/>
            <w:vMerge w:val="continue"/>
            <w:tcBorders>
              <w:top w:val="nil"/>
              <w:left w:val="single" w:color="auto" w:sz="4" w:space="0"/>
              <w:bottom w:val="single" w:color="000000" w:sz="4" w:space="0"/>
              <w:right w:val="single" w:color="auto" w:sz="4" w:space="0"/>
            </w:tcBorders>
            <w:vAlign w:val="center"/>
          </w:tcPr>
          <w:p w14:paraId="5EB80EDF">
            <w:pPr>
              <w:widowControl/>
              <w:jc w:val="center"/>
              <w:rPr>
                <w:rFonts w:ascii="Times New Roman" w:hAnsi="Times New Roman" w:eastAsia="仿宋_GB2312" w:cs="Times New Roman"/>
                <w:color w:val="000000"/>
                <w:kern w:val="0"/>
                <w:sz w:val="28"/>
                <w:szCs w:val="28"/>
                <w14:ligatures w14:val="none"/>
              </w:rPr>
            </w:pPr>
          </w:p>
        </w:tc>
        <w:tc>
          <w:tcPr>
            <w:tcW w:w="2107" w:type="pct"/>
            <w:tcBorders>
              <w:top w:val="nil"/>
              <w:left w:val="nil"/>
              <w:bottom w:val="single" w:color="auto" w:sz="4" w:space="0"/>
              <w:right w:val="single" w:color="auto" w:sz="4" w:space="0"/>
            </w:tcBorders>
            <w:vAlign w:val="center"/>
          </w:tcPr>
          <w:p w14:paraId="7AE7A972">
            <w:pPr>
              <w:widowControl/>
              <w:jc w:val="center"/>
              <w:rPr>
                <w:rFonts w:ascii="Times New Roman" w:hAnsi="Times New Roman" w:eastAsia="仿宋_GB2312" w:cs="Times New Roman"/>
                <w:color w:val="000000"/>
                <w:kern w:val="0"/>
                <w:sz w:val="28"/>
                <w:szCs w:val="28"/>
                <w14:ligatures w14:val="none"/>
              </w:rPr>
            </w:pPr>
            <w:r>
              <w:rPr>
                <w:rFonts w:ascii="Times New Roman" w:hAnsi="Times New Roman" w:eastAsia="仿宋_GB2312" w:cs="Times New Roman"/>
                <w:color w:val="000000"/>
                <w:kern w:val="0"/>
                <w:sz w:val="28"/>
                <w:szCs w:val="28"/>
                <w14:ligatures w14:val="none"/>
              </w:rPr>
              <w:t>肺结核患者规范管理率</w:t>
            </w:r>
          </w:p>
        </w:tc>
        <w:tc>
          <w:tcPr>
            <w:tcW w:w="945" w:type="pct"/>
            <w:tcBorders>
              <w:top w:val="nil"/>
              <w:left w:val="nil"/>
              <w:bottom w:val="single" w:color="auto" w:sz="4" w:space="0"/>
              <w:right w:val="single" w:color="auto" w:sz="4" w:space="0"/>
            </w:tcBorders>
            <w:vAlign w:val="center"/>
          </w:tcPr>
          <w:p w14:paraId="781AE9C0">
            <w:pPr>
              <w:widowControl/>
              <w:jc w:val="center"/>
              <w:rPr>
                <w:rFonts w:ascii="Times New Roman" w:hAnsi="Times New Roman" w:eastAsia="仿宋_GB2312" w:cs="Times New Roman"/>
                <w:color w:val="000000"/>
                <w:kern w:val="0"/>
                <w:sz w:val="28"/>
                <w:szCs w:val="28"/>
                <w14:ligatures w14:val="none"/>
              </w:rPr>
            </w:pPr>
            <w:r>
              <w:rPr>
                <w:rFonts w:ascii="Times New Roman" w:hAnsi="Times New Roman" w:eastAsia="仿宋_GB2312" w:cs="Times New Roman"/>
                <w:color w:val="000000"/>
                <w:kern w:val="0"/>
                <w:sz w:val="28"/>
                <w:szCs w:val="28"/>
                <w14:ligatures w14:val="none"/>
              </w:rPr>
              <w:t>≥90%</w:t>
            </w:r>
          </w:p>
        </w:tc>
        <w:tc>
          <w:tcPr>
            <w:tcW w:w="948" w:type="pct"/>
            <w:tcBorders>
              <w:top w:val="nil"/>
              <w:left w:val="nil"/>
              <w:bottom w:val="single" w:color="auto" w:sz="4" w:space="0"/>
              <w:right w:val="single" w:color="auto" w:sz="4" w:space="0"/>
            </w:tcBorders>
            <w:vAlign w:val="center"/>
          </w:tcPr>
          <w:p w14:paraId="3A0CCB41">
            <w:pPr>
              <w:widowControl/>
              <w:jc w:val="center"/>
              <w:rPr>
                <w:rFonts w:ascii="Times New Roman" w:hAnsi="Times New Roman" w:eastAsia="仿宋_GB2312" w:cs="Times New Roman"/>
                <w:color w:val="000000"/>
                <w:kern w:val="0"/>
                <w:sz w:val="28"/>
                <w:szCs w:val="28"/>
                <w14:ligatures w14:val="none"/>
              </w:rPr>
            </w:pPr>
            <w:r>
              <w:rPr>
                <w:rFonts w:ascii="Times New Roman" w:hAnsi="Times New Roman" w:eastAsia="仿宋_GB2312" w:cs="Times New Roman"/>
                <w:color w:val="000000"/>
                <w:kern w:val="0"/>
                <w:sz w:val="28"/>
                <w:szCs w:val="28"/>
                <w14:ligatures w14:val="none"/>
              </w:rPr>
              <w:t>≥90%</w:t>
            </w:r>
          </w:p>
        </w:tc>
      </w:tr>
      <w:tr w14:paraId="54486F4A">
        <w:tblPrEx>
          <w:tblCellMar>
            <w:top w:w="15" w:type="dxa"/>
            <w:left w:w="108" w:type="dxa"/>
            <w:bottom w:w="0" w:type="dxa"/>
            <w:right w:w="108" w:type="dxa"/>
          </w:tblCellMar>
        </w:tblPrEx>
        <w:trPr>
          <w:trHeight w:val="292" w:hRule="atLeast"/>
          <w:jc w:val="center"/>
        </w:trPr>
        <w:tc>
          <w:tcPr>
            <w:tcW w:w="437" w:type="pct"/>
            <w:vMerge w:val="continue"/>
            <w:tcBorders>
              <w:top w:val="nil"/>
              <w:left w:val="single" w:color="auto" w:sz="4" w:space="0"/>
              <w:bottom w:val="single" w:color="auto" w:sz="4" w:space="0"/>
              <w:right w:val="single" w:color="auto" w:sz="4" w:space="0"/>
            </w:tcBorders>
            <w:vAlign w:val="center"/>
          </w:tcPr>
          <w:p w14:paraId="5411A231">
            <w:pPr>
              <w:widowControl/>
              <w:jc w:val="center"/>
              <w:rPr>
                <w:rFonts w:ascii="Times New Roman" w:hAnsi="Times New Roman" w:eastAsia="仿宋_GB2312" w:cs="Times New Roman"/>
                <w:color w:val="000000"/>
                <w:kern w:val="0"/>
                <w:sz w:val="28"/>
                <w:szCs w:val="28"/>
                <w14:ligatures w14:val="none"/>
              </w:rPr>
            </w:pPr>
          </w:p>
        </w:tc>
        <w:tc>
          <w:tcPr>
            <w:tcW w:w="562" w:type="pct"/>
            <w:vMerge w:val="continue"/>
            <w:tcBorders>
              <w:top w:val="nil"/>
              <w:left w:val="single" w:color="auto" w:sz="4" w:space="0"/>
              <w:bottom w:val="single" w:color="000000" w:sz="4" w:space="0"/>
              <w:right w:val="single" w:color="auto" w:sz="4" w:space="0"/>
            </w:tcBorders>
            <w:vAlign w:val="center"/>
          </w:tcPr>
          <w:p w14:paraId="6D398CBD">
            <w:pPr>
              <w:widowControl/>
              <w:jc w:val="center"/>
              <w:rPr>
                <w:rFonts w:ascii="Times New Roman" w:hAnsi="Times New Roman" w:eastAsia="仿宋_GB2312" w:cs="Times New Roman"/>
                <w:color w:val="000000"/>
                <w:kern w:val="0"/>
                <w:sz w:val="28"/>
                <w:szCs w:val="28"/>
                <w14:ligatures w14:val="none"/>
              </w:rPr>
            </w:pPr>
          </w:p>
        </w:tc>
        <w:tc>
          <w:tcPr>
            <w:tcW w:w="2107" w:type="pct"/>
            <w:tcBorders>
              <w:top w:val="nil"/>
              <w:left w:val="nil"/>
              <w:bottom w:val="single" w:color="auto" w:sz="4" w:space="0"/>
              <w:right w:val="single" w:color="auto" w:sz="4" w:space="0"/>
            </w:tcBorders>
            <w:vAlign w:val="center"/>
          </w:tcPr>
          <w:p w14:paraId="271BBFF5">
            <w:pPr>
              <w:widowControl/>
              <w:jc w:val="center"/>
              <w:rPr>
                <w:rFonts w:ascii="Times New Roman" w:hAnsi="Times New Roman" w:eastAsia="仿宋_GB2312" w:cs="Times New Roman"/>
                <w:color w:val="000000"/>
                <w:kern w:val="0"/>
                <w:sz w:val="28"/>
                <w:szCs w:val="28"/>
                <w14:ligatures w14:val="none"/>
              </w:rPr>
            </w:pPr>
            <w:r>
              <w:rPr>
                <w:rFonts w:ascii="Times New Roman" w:hAnsi="Times New Roman" w:eastAsia="仿宋_GB2312" w:cs="Times New Roman"/>
                <w:color w:val="000000"/>
                <w:kern w:val="0"/>
                <w:sz w:val="28"/>
                <w:szCs w:val="28"/>
                <w14:ligatures w14:val="none"/>
              </w:rPr>
              <w:t>肺结核患者成功治疗率</w:t>
            </w:r>
          </w:p>
        </w:tc>
        <w:tc>
          <w:tcPr>
            <w:tcW w:w="945" w:type="pct"/>
            <w:tcBorders>
              <w:top w:val="nil"/>
              <w:left w:val="nil"/>
              <w:bottom w:val="single" w:color="auto" w:sz="4" w:space="0"/>
              <w:right w:val="single" w:color="auto" w:sz="4" w:space="0"/>
            </w:tcBorders>
            <w:vAlign w:val="center"/>
          </w:tcPr>
          <w:p w14:paraId="1BC7D66D">
            <w:pPr>
              <w:widowControl/>
              <w:jc w:val="center"/>
              <w:rPr>
                <w:rFonts w:ascii="Times New Roman" w:hAnsi="Times New Roman" w:eastAsia="仿宋_GB2312" w:cs="Times New Roman"/>
                <w:color w:val="000000"/>
                <w:kern w:val="0"/>
                <w:sz w:val="28"/>
                <w:szCs w:val="28"/>
                <w14:ligatures w14:val="none"/>
              </w:rPr>
            </w:pPr>
            <w:r>
              <w:rPr>
                <w:rFonts w:ascii="Times New Roman" w:hAnsi="Times New Roman" w:eastAsia="仿宋_GB2312" w:cs="Times New Roman"/>
                <w:color w:val="000000"/>
                <w:kern w:val="0"/>
                <w:sz w:val="28"/>
                <w:szCs w:val="28"/>
                <w14:ligatures w14:val="none"/>
              </w:rPr>
              <w:t>≥90%</w:t>
            </w:r>
          </w:p>
        </w:tc>
        <w:tc>
          <w:tcPr>
            <w:tcW w:w="948" w:type="pct"/>
            <w:tcBorders>
              <w:top w:val="nil"/>
              <w:left w:val="nil"/>
              <w:bottom w:val="single" w:color="auto" w:sz="4" w:space="0"/>
              <w:right w:val="single" w:color="auto" w:sz="4" w:space="0"/>
            </w:tcBorders>
            <w:vAlign w:val="center"/>
          </w:tcPr>
          <w:p w14:paraId="332B4E13">
            <w:pPr>
              <w:widowControl/>
              <w:jc w:val="center"/>
              <w:rPr>
                <w:rFonts w:ascii="Times New Roman" w:hAnsi="Times New Roman" w:eastAsia="仿宋_GB2312" w:cs="Times New Roman"/>
                <w:color w:val="000000"/>
                <w:kern w:val="0"/>
                <w:sz w:val="28"/>
                <w:szCs w:val="28"/>
                <w14:ligatures w14:val="none"/>
              </w:rPr>
            </w:pPr>
            <w:r>
              <w:rPr>
                <w:rFonts w:ascii="Times New Roman" w:hAnsi="Times New Roman" w:eastAsia="仿宋_GB2312" w:cs="Times New Roman"/>
                <w:color w:val="000000"/>
                <w:kern w:val="0"/>
                <w:sz w:val="28"/>
                <w:szCs w:val="28"/>
                <w14:ligatures w14:val="none"/>
              </w:rPr>
              <w:t>≥90%</w:t>
            </w:r>
          </w:p>
        </w:tc>
      </w:tr>
      <w:tr w14:paraId="2170F115">
        <w:tblPrEx>
          <w:tblCellMar>
            <w:top w:w="15" w:type="dxa"/>
            <w:left w:w="108" w:type="dxa"/>
            <w:bottom w:w="0" w:type="dxa"/>
            <w:right w:w="108" w:type="dxa"/>
          </w:tblCellMar>
        </w:tblPrEx>
        <w:trPr>
          <w:trHeight w:val="545" w:hRule="atLeast"/>
          <w:jc w:val="center"/>
        </w:trPr>
        <w:tc>
          <w:tcPr>
            <w:tcW w:w="437" w:type="pct"/>
            <w:vMerge w:val="continue"/>
            <w:tcBorders>
              <w:top w:val="nil"/>
              <w:left w:val="single" w:color="auto" w:sz="4" w:space="0"/>
              <w:bottom w:val="single" w:color="auto" w:sz="4" w:space="0"/>
              <w:right w:val="single" w:color="auto" w:sz="4" w:space="0"/>
            </w:tcBorders>
            <w:vAlign w:val="center"/>
          </w:tcPr>
          <w:p w14:paraId="341C32C4">
            <w:pPr>
              <w:widowControl/>
              <w:jc w:val="center"/>
              <w:rPr>
                <w:rFonts w:ascii="Times New Roman" w:hAnsi="Times New Roman" w:eastAsia="仿宋_GB2312" w:cs="Times New Roman"/>
                <w:color w:val="000000"/>
                <w:kern w:val="0"/>
                <w:sz w:val="28"/>
                <w:szCs w:val="28"/>
                <w14:ligatures w14:val="none"/>
              </w:rPr>
            </w:pPr>
          </w:p>
        </w:tc>
        <w:tc>
          <w:tcPr>
            <w:tcW w:w="562" w:type="pct"/>
            <w:vMerge w:val="restart"/>
            <w:tcBorders>
              <w:top w:val="nil"/>
              <w:left w:val="single" w:color="auto" w:sz="4" w:space="0"/>
              <w:bottom w:val="single" w:color="000000" w:sz="4" w:space="0"/>
              <w:right w:val="single" w:color="auto" w:sz="4" w:space="0"/>
            </w:tcBorders>
            <w:vAlign w:val="center"/>
          </w:tcPr>
          <w:p w14:paraId="34A6E8E9">
            <w:pPr>
              <w:widowControl/>
              <w:jc w:val="center"/>
              <w:rPr>
                <w:rFonts w:ascii="Times New Roman" w:hAnsi="Times New Roman" w:eastAsia="仿宋_GB2312" w:cs="Times New Roman"/>
                <w:color w:val="000000"/>
                <w:kern w:val="0"/>
                <w:sz w:val="28"/>
                <w:szCs w:val="28"/>
                <w14:ligatures w14:val="none"/>
              </w:rPr>
            </w:pPr>
            <w:r>
              <w:rPr>
                <w:rFonts w:ascii="Times New Roman" w:hAnsi="Times New Roman" w:eastAsia="仿宋_GB2312" w:cs="Times New Roman"/>
                <w:color w:val="000000"/>
                <w:kern w:val="0"/>
                <w:sz w:val="28"/>
                <w:szCs w:val="28"/>
                <w14:ligatures w14:val="none"/>
              </w:rPr>
              <w:t>预防性</w:t>
            </w:r>
          </w:p>
          <w:p w14:paraId="1B3FEA83">
            <w:pPr>
              <w:widowControl/>
              <w:jc w:val="center"/>
              <w:rPr>
                <w:rFonts w:ascii="Times New Roman" w:hAnsi="Times New Roman" w:eastAsia="仿宋_GB2312" w:cs="Times New Roman"/>
                <w:color w:val="000000"/>
                <w:kern w:val="0"/>
                <w:sz w:val="28"/>
                <w:szCs w:val="28"/>
                <w14:ligatures w14:val="none"/>
              </w:rPr>
            </w:pPr>
            <w:r>
              <w:rPr>
                <w:rFonts w:ascii="Times New Roman" w:hAnsi="Times New Roman" w:eastAsia="仿宋_GB2312" w:cs="Times New Roman"/>
                <w:color w:val="000000"/>
                <w:kern w:val="0"/>
                <w:sz w:val="28"/>
                <w:szCs w:val="28"/>
                <w14:ligatures w14:val="none"/>
              </w:rPr>
              <w:t>干预</w:t>
            </w:r>
          </w:p>
        </w:tc>
        <w:tc>
          <w:tcPr>
            <w:tcW w:w="2107" w:type="pct"/>
            <w:vMerge w:val="restart"/>
            <w:tcBorders>
              <w:top w:val="nil"/>
              <w:left w:val="single" w:color="auto" w:sz="4" w:space="0"/>
              <w:bottom w:val="single" w:color="auto" w:sz="4" w:space="0"/>
              <w:right w:val="single" w:color="auto" w:sz="4" w:space="0"/>
            </w:tcBorders>
            <w:vAlign w:val="center"/>
          </w:tcPr>
          <w:p w14:paraId="4614C327">
            <w:pPr>
              <w:widowControl/>
              <w:jc w:val="center"/>
              <w:rPr>
                <w:rFonts w:ascii="Times New Roman" w:hAnsi="Times New Roman" w:eastAsia="仿宋_GB2312" w:cs="Times New Roman"/>
                <w:color w:val="000000"/>
                <w:kern w:val="0"/>
                <w:sz w:val="28"/>
                <w:szCs w:val="28"/>
                <w14:ligatures w14:val="none"/>
              </w:rPr>
            </w:pPr>
            <w:r>
              <w:rPr>
                <w:rFonts w:ascii="Times New Roman" w:hAnsi="Times New Roman" w:eastAsia="仿宋_GB2312" w:cs="Times New Roman"/>
                <w:color w:val="000000"/>
                <w:kern w:val="0"/>
                <w:sz w:val="28"/>
                <w:szCs w:val="28"/>
                <w14:ligatures w14:val="none"/>
              </w:rPr>
              <w:t>肺结核患者密切接触者中</w:t>
            </w:r>
          </w:p>
          <w:p w14:paraId="1113432F">
            <w:pPr>
              <w:widowControl/>
              <w:jc w:val="center"/>
              <w:rPr>
                <w:rFonts w:ascii="Times New Roman" w:hAnsi="Times New Roman" w:eastAsia="仿宋_GB2312" w:cs="Times New Roman"/>
                <w:color w:val="000000"/>
                <w:kern w:val="0"/>
                <w:sz w:val="28"/>
                <w:szCs w:val="28"/>
                <w14:ligatures w14:val="none"/>
              </w:rPr>
            </w:pPr>
            <w:r>
              <w:rPr>
                <w:rFonts w:ascii="Times New Roman" w:hAnsi="Times New Roman" w:eastAsia="仿宋_GB2312" w:cs="Times New Roman"/>
                <w:color w:val="000000"/>
                <w:kern w:val="0"/>
                <w:sz w:val="28"/>
                <w:szCs w:val="28"/>
                <w14:ligatures w14:val="none"/>
              </w:rPr>
              <w:t>潜伏感染者预防性治疗率</w:t>
            </w:r>
          </w:p>
        </w:tc>
        <w:tc>
          <w:tcPr>
            <w:tcW w:w="945" w:type="pct"/>
            <w:vMerge w:val="restart"/>
            <w:tcBorders>
              <w:top w:val="nil"/>
              <w:left w:val="single" w:color="auto" w:sz="4" w:space="0"/>
              <w:bottom w:val="single" w:color="auto" w:sz="4" w:space="0"/>
              <w:right w:val="single" w:color="auto" w:sz="4" w:space="0"/>
            </w:tcBorders>
            <w:vAlign w:val="center"/>
          </w:tcPr>
          <w:p w14:paraId="38F6E0DB">
            <w:pPr>
              <w:widowControl/>
              <w:jc w:val="center"/>
              <w:rPr>
                <w:rFonts w:ascii="Times New Roman" w:hAnsi="Times New Roman" w:eastAsia="仿宋_GB2312" w:cs="Times New Roman"/>
                <w:color w:val="000000"/>
                <w:kern w:val="0"/>
                <w:sz w:val="28"/>
                <w:szCs w:val="28"/>
                <w14:ligatures w14:val="none"/>
              </w:rPr>
            </w:pPr>
            <w:r>
              <w:rPr>
                <w:rFonts w:ascii="Times New Roman" w:hAnsi="Times New Roman" w:eastAsia="仿宋_GB2312" w:cs="Times New Roman"/>
                <w:color w:val="000000"/>
                <w:kern w:val="0"/>
                <w:sz w:val="28"/>
                <w:szCs w:val="28"/>
                <w14:ligatures w14:val="none"/>
              </w:rPr>
              <w:t>≥60%</w:t>
            </w:r>
          </w:p>
        </w:tc>
        <w:tc>
          <w:tcPr>
            <w:tcW w:w="948" w:type="pct"/>
            <w:vMerge w:val="restart"/>
            <w:tcBorders>
              <w:top w:val="nil"/>
              <w:left w:val="single" w:color="auto" w:sz="4" w:space="0"/>
              <w:bottom w:val="single" w:color="auto" w:sz="4" w:space="0"/>
              <w:right w:val="single" w:color="auto" w:sz="4" w:space="0"/>
            </w:tcBorders>
            <w:vAlign w:val="center"/>
          </w:tcPr>
          <w:p w14:paraId="4B7897C2">
            <w:pPr>
              <w:widowControl/>
              <w:jc w:val="center"/>
              <w:rPr>
                <w:rFonts w:ascii="Times New Roman" w:hAnsi="Times New Roman" w:eastAsia="仿宋_GB2312" w:cs="Times New Roman"/>
                <w:color w:val="000000"/>
                <w:kern w:val="0"/>
                <w:sz w:val="28"/>
                <w:szCs w:val="28"/>
                <w14:ligatures w14:val="none"/>
              </w:rPr>
            </w:pPr>
            <w:r>
              <w:rPr>
                <w:rFonts w:ascii="Times New Roman" w:hAnsi="Times New Roman" w:eastAsia="仿宋_GB2312" w:cs="Times New Roman"/>
                <w:color w:val="000000"/>
                <w:kern w:val="0"/>
                <w:sz w:val="28"/>
                <w:szCs w:val="28"/>
                <w14:ligatures w14:val="none"/>
              </w:rPr>
              <w:t>≥80%</w:t>
            </w:r>
          </w:p>
        </w:tc>
      </w:tr>
      <w:tr w14:paraId="002E931B">
        <w:tblPrEx>
          <w:tblCellMar>
            <w:top w:w="15" w:type="dxa"/>
            <w:left w:w="108" w:type="dxa"/>
            <w:bottom w:w="0" w:type="dxa"/>
            <w:right w:w="108" w:type="dxa"/>
          </w:tblCellMar>
        </w:tblPrEx>
        <w:trPr>
          <w:trHeight w:val="480" w:hRule="atLeast"/>
          <w:jc w:val="center"/>
        </w:trPr>
        <w:tc>
          <w:tcPr>
            <w:tcW w:w="437" w:type="pct"/>
            <w:vMerge w:val="continue"/>
            <w:tcBorders>
              <w:top w:val="nil"/>
              <w:left w:val="single" w:color="auto" w:sz="4" w:space="0"/>
              <w:bottom w:val="single" w:color="auto" w:sz="4" w:space="0"/>
              <w:right w:val="single" w:color="auto" w:sz="4" w:space="0"/>
            </w:tcBorders>
            <w:vAlign w:val="center"/>
          </w:tcPr>
          <w:p w14:paraId="2ADE647E">
            <w:pPr>
              <w:widowControl/>
              <w:jc w:val="center"/>
              <w:rPr>
                <w:rFonts w:ascii="Times New Roman" w:hAnsi="Times New Roman" w:eastAsia="仿宋_GB2312" w:cs="Times New Roman"/>
                <w:color w:val="000000"/>
                <w:kern w:val="0"/>
                <w:sz w:val="28"/>
                <w:szCs w:val="28"/>
                <w14:ligatures w14:val="none"/>
              </w:rPr>
            </w:pPr>
          </w:p>
        </w:tc>
        <w:tc>
          <w:tcPr>
            <w:tcW w:w="562" w:type="pct"/>
            <w:vMerge w:val="continue"/>
            <w:tcBorders>
              <w:top w:val="nil"/>
              <w:left w:val="single" w:color="auto" w:sz="4" w:space="0"/>
              <w:bottom w:val="single" w:color="000000" w:sz="4" w:space="0"/>
              <w:right w:val="single" w:color="auto" w:sz="4" w:space="0"/>
            </w:tcBorders>
            <w:vAlign w:val="center"/>
          </w:tcPr>
          <w:p w14:paraId="1CF99F78">
            <w:pPr>
              <w:widowControl/>
              <w:jc w:val="center"/>
              <w:rPr>
                <w:rFonts w:ascii="Times New Roman" w:hAnsi="Times New Roman" w:eastAsia="仿宋_GB2312" w:cs="Times New Roman"/>
                <w:color w:val="000000"/>
                <w:kern w:val="0"/>
                <w:sz w:val="28"/>
                <w:szCs w:val="28"/>
                <w14:ligatures w14:val="none"/>
              </w:rPr>
            </w:pPr>
          </w:p>
        </w:tc>
        <w:tc>
          <w:tcPr>
            <w:tcW w:w="2107" w:type="pct"/>
            <w:vMerge w:val="continue"/>
            <w:tcBorders>
              <w:top w:val="nil"/>
              <w:left w:val="single" w:color="auto" w:sz="4" w:space="0"/>
              <w:bottom w:val="single" w:color="auto" w:sz="4" w:space="0"/>
              <w:right w:val="single" w:color="auto" w:sz="4" w:space="0"/>
            </w:tcBorders>
            <w:vAlign w:val="center"/>
          </w:tcPr>
          <w:p w14:paraId="2721517D">
            <w:pPr>
              <w:widowControl/>
              <w:jc w:val="center"/>
              <w:rPr>
                <w:rFonts w:ascii="Times New Roman" w:hAnsi="Times New Roman" w:eastAsia="仿宋_GB2312" w:cs="Times New Roman"/>
                <w:color w:val="000000"/>
                <w:kern w:val="0"/>
                <w:sz w:val="28"/>
                <w:szCs w:val="28"/>
                <w14:ligatures w14:val="none"/>
              </w:rPr>
            </w:pPr>
          </w:p>
        </w:tc>
        <w:tc>
          <w:tcPr>
            <w:tcW w:w="945" w:type="pct"/>
            <w:vMerge w:val="continue"/>
            <w:tcBorders>
              <w:top w:val="nil"/>
              <w:left w:val="single" w:color="auto" w:sz="4" w:space="0"/>
              <w:bottom w:val="single" w:color="auto" w:sz="4" w:space="0"/>
              <w:right w:val="single" w:color="auto" w:sz="4" w:space="0"/>
            </w:tcBorders>
            <w:vAlign w:val="center"/>
          </w:tcPr>
          <w:p w14:paraId="51148FE4">
            <w:pPr>
              <w:widowControl/>
              <w:jc w:val="center"/>
              <w:rPr>
                <w:rFonts w:ascii="Times New Roman" w:hAnsi="Times New Roman" w:eastAsia="仿宋_GB2312" w:cs="Times New Roman"/>
                <w:color w:val="000000"/>
                <w:kern w:val="0"/>
                <w:sz w:val="28"/>
                <w:szCs w:val="28"/>
                <w14:ligatures w14:val="none"/>
              </w:rPr>
            </w:pPr>
          </w:p>
        </w:tc>
        <w:tc>
          <w:tcPr>
            <w:tcW w:w="948" w:type="pct"/>
            <w:vMerge w:val="continue"/>
            <w:tcBorders>
              <w:top w:val="nil"/>
              <w:left w:val="single" w:color="auto" w:sz="4" w:space="0"/>
              <w:bottom w:val="single" w:color="auto" w:sz="4" w:space="0"/>
              <w:right w:val="single" w:color="auto" w:sz="4" w:space="0"/>
            </w:tcBorders>
            <w:vAlign w:val="center"/>
          </w:tcPr>
          <w:p w14:paraId="405C8D45">
            <w:pPr>
              <w:widowControl/>
              <w:jc w:val="center"/>
              <w:rPr>
                <w:rFonts w:ascii="Times New Roman" w:hAnsi="Times New Roman" w:eastAsia="仿宋_GB2312" w:cs="Times New Roman"/>
                <w:color w:val="000000"/>
                <w:kern w:val="0"/>
                <w:sz w:val="28"/>
                <w:szCs w:val="28"/>
                <w14:ligatures w14:val="none"/>
              </w:rPr>
            </w:pPr>
          </w:p>
        </w:tc>
      </w:tr>
      <w:tr w14:paraId="2487077B">
        <w:tblPrEx>
          <w:tblCellMar>
            <w:top w:w="15" w:type="dxa"/>
            <w:left w:w="108" w:type="dxa"/>
            <w:bottom w:w="0" w:type="dxa"/>
            <w:right w:w="108" w:type="dxa"/>
          </w:tblCellMar>
        </w:tblPrEx>
        <w:trPr>
          <w:trHeight w:val="480" w:hRule="atLeast"/>
          <w:jc w:val="center"/>
        </w:trPr>
        <w:tc>
          <w:tcPr>
            <w:tcW w:w="437" w:type="pct"/>
            <w:vMerge w:val="continue"/>
            <w:tcBorders>
              <w:top w:val="nil"/>
              <w:left w:val="single" w:color="auto" w:sz="4" w:space="0"/>
              <w:bottom w:val="single" w:color="auto" w:sz="4" w:space="0"/>
              <w:right w:val="single" w:color="auto" w:sz="4" w:space="0"/>
            </w:tcBorders>
            <w:vAlign w:val="center"/>
          </w:tcPr>
          <w:p w14:paraId="1AAFC95F">
            <w:pPr>
              <w:widowControl/>
              <w:jc w:val="center"/>
              <w:rPr>
                <w:rFonts w:ascii="Times New Roman" w:hAnsi="Times New Roman" w:eastAsia="仿宋_GB2312" w:cs="Times New Roman"/>
                <w:color w:val="000000"/>
                <w:kern w:val="0"/>
                <w:sz w:val="28"/>
                <w:szCs w:val="28"/>
                <w14:ligatures w14:val="none"/>
              </w:rPr>
            </w:pPr>
          </w:p>
        </w:tc>
        <w:tc>
          <w:tcPr>
            <w:tcW w:w="562" w:type="pct"/>
            <w:vMerge w:val="restart"/>
            <w:tcBorders>
              <w:top w:val="nil"/>
              <w:left w:val="single" w:color="auto" w:sz="4" w:space="0"/>
              <w:bottom w:val="single" w:color="000000" w:sz="4" w:space="0"/>
              <w:right w:val="single" w:color="auto" w:sz="4" w:space="0"/>
            </w:tcBorders>
            <w:vAlign w:val="center"/>
          </w:tcPr>
          <w:p w14:paraId="3837AEAB">
            <w:pPr>
              <w:widowControl/>
              <w:jc w:val="center"/>
              <w:rPr>
                <w:rFonts w:ascii="Times New Roman" w:hAnsi="Times New Roman" w:eastAsia="仿宋_GB2312" w:cs="Times New Roman"/>
                <w:color w:val="000000"/>
                <w:kern w:val="0"/>
                <w:sz w:val="28"/>
                <w:szCs w:val="28"/>
                <w14:ligatures w14:val="none"/>
              </w:rPr>
            </w:pPr>
            <w:r>
              <w:rPr>
                <w:rFonts w:ascii="Times New Roman" w:hAnsi="Times New Roman" w:eastAsia="仿宋_GB2312" w:cs="Times New Roman"/>
                <w:color w:val="000000"/>
                <w:kern w:val="0"/>
                <w:sz w:val="28"/>
                <w:szCs w:val="28"/>
                <w14:ligatures w14:val="none"/>
              </w:rPr>
              <w:t>健康素养</w:t>
            </w:r>
          </w:p>
        </w:tc>
        <w:tc>
          <w:tcPr>
            <w:tcW w:w="2107" w:type="pct"/>
            <w:vMerge w:val="restart"/>
            <w:tcBorders>
              <w:top w:val="nil"/>
              <w:left w:val="single" w:color="auto" w:sz="4" w:space="0"/>
              <w:bottom w:val="single" w:color="auto" w:sz="4" w:space="0"/>
              <w:right w:val="single" w:color="auto" w:sz="4" w:space="0"/>
            </w:tcBorders>
            <w:vAlign w:val="center"/>
          </w:tcPr>
          <w:p w14:paraId="3670B78D">
            <w:pPr>
              <w:widowControl/>
              <w:jc w:val="center"/>
              <w:rPr>
                <w:rFonts w:ascii="Times New Roman" w:hAnsi="Times New Roman" w:eastAsia="仿宋_GB2312" w:cs="Times New Roman"/>
                <w:color w:val="000000"/>
                <w:kern w:val="0"/>
                <w:sz w:val="28"/>
                <w:szCs w:val="28"/>
                <w14:ligatures w14:val="none"/>
              </w:rPr>
            </w:pPr>
            <w:r>
              <w:rPr>
                <w:rFonts w:ascii="Times New Roman" w:hAnsi="Times New Roman" w:eastAsia="仿宋_GB2312" w:cs="Times New Roman"/>
                <w:color w:val="000000"/>
                <w:kern w:val="0"/>
                <w:sz w:val="28"/>
                <w:szCs w:val="28"/>
                <w14:ligatures w14:val="none"/>
              </w:rPr>
              <w:t>公众结核病防治</w:t>
            </w:r>
          </w:p>
          <w:p w14:paraId="2B475F29">
            <w:pPr>
              <w:widowControl/>
              <w:jc w:val="center"/>
              <w:rPr>
                <w:rFonts w:ascii="Times New Roman" w:hAnsi="Times New Roman" w:eastAsia="仿宋_GB2312" w:cs="Times New Roman"/>
                <w:color w:val="000000"/>
                <w:kern w:val="0"/>
                <w:sz w:val="28"/>
                <w:szCs w:val="28"/>
                <w14:ligatures w14:val="none"/>
              </w:rPr>
            </w:pPr>
            <w:r>
              <w:rPr>
                <w:rFonts w:ascii="Times New Roman" w:hAnsi="Times New Roman" w:eastAsia="仿宋_GB2312" w:cs="Times New Roman"/>
                <w:color w:val="000000"/>
                <w:kern w:val="0"/>
                <w:sz w:val="28"/>
                <w:szCs w:val="28"/>
                <w14:ligatures w14:val="none"/>
              </w:rPr>
              <w:t>核心知识知晓率</w:t>
            </w:r>
          </w:p>
        </w:tc>
        <w:tc>
          <w:tcPr>
            <w:tcW w:w="945" w:type="pct"/>
            <w:vMerge w:val="restart"/>
            <w:tcBorders>
              <w:top w:val="nil"/>
              <w:left w:val="single" w:color="auto" w:sz="4" w:space="0"/>
              <w:bottom w:val="single" w:color="auto" w:sz="4" w:space="0"/>
              <w:right w:val="single" w:color="auto" w:sz="4" w:space="0"/>
            </w:tcBorders>
            <w:vAlign w:val="center"/>
          </w:tcPr>
          <w:p w14:paraId="1DD93412">
            <w:pPr>
              <w:widowControl/>
              <w:jc w:val="center"/>
              <w:rPr>
                <w:rFonts w:ascii="Times New Roman" w:hAnsi="Times New Roman" w:eastAsia="仿宋_GB2312" w:cs="Times New Roman"/>
                <w:color w:val="000000"/>
                <w:kern w:val="0"/>
                <w:sz w:val="28"/>
                <w:szCs w:val="28"/>
                <w14:ligatures w14:val="none"/>
              </w:rPr>
            </w:pPr>
            <w:r>
              <w:rPr>
                <w:rFonts w:ascii="Times New Roman" w:hAnsi="Times New Roman" w:eastAsia="仿宋_GB2312" w:cs="Times New Roman"/>
                <w:color w:val="000000"/>
                <w:kern w:val="0"/>
                <w:sz w:val="28"/>
                <w:szCs w:val="28"/>
                <w14:ligatures w14:val="none"/>
              </w:rPr>
              <w:t>≥85%</w:t>
            </w:r>
          </w:p>
        </w:tc>
        <w:tc>
          <w:tcPr>
            <w:tcW w:w="948" w:type="pct"/>
            <w:vMerge w:val="restart"/>
            <w:tcBorders>
              <w:top w:val="nil"/>
              <w:left w:val="single" w:color="auto" w:sz="4" w:space="0"/>
              <w:bottom w:val="single" w:color="auto" w:sz="4" w:space="0"/>
              <w:right w:val="single" w:color="auto" w:sz="4" w:space="0"/>
            </w:tcBorders>
            <w:vAlign w:val="center"/>
          </w:tcPr>
          <w:p w14:paraId="6D651A77">
            <w:pPr>
              <w:widowControl/>
              <w:jc w:val="center"/>
              <w:rPr>
                <w:rFonts w:ascii="Times New Roman" w:hAnsi="Times New Roman" w:eastAsia="仿宋_GB2312" w:cs="Times New Roman"/>
                <w:color w:val="000000"/>
                <w:kern w:val="0"/>
                <w:sz w:val="28"/>
                <w:szCs w:val="28"/>
                <w14:ligatures w14:val="none"/>
              </w:rPr>
            </w:pPr>
            <w:r>
              <w:rPr>
                <w:rFonts w:ascii="Times New Roman" w:hAnsi="Times New Roman" w:eastAsia="仿宋_GB2312" w:cs="Times New Roman"/>
                <w:color w:val="000000"/>
                <w:kern w:val="0"/>
                <w:sz w:val="28"/>
                <w:szCs w:val="28"/>
                <w14:ligatures w14:val="none"/>
              </w:rPr>
              <w:t>≥85%</w:t>
            </w:r>
          </w:p>
        </w:tc>
      </w:tr>
      <w:tr w14:paraId="2371071B">
        <w:tblPrEx>
          <w:tblCellMar>
            <w:top w:w="15" w:type="dxa"/>
            <w:left w:w="108" w:type="dxa"/>
            <w:bottom w:w="0" w:type="dxa"/>
            <w:right w:w="108" w:type="dxa"/>
          </w:tblCellMar>
        </w:tblPrEx>
        <w:trPr>
          <w:trHeight w:val="480" w:hRule="atLeast"/>
          <w:jc w:val="center"/>
        </w:trPr>
        <w:tc>
          <w:tcPr>
            <w:tcW w:w="437" w:type="pct"/>
            <w:vMerge w:val="continue"/>
            <w:tcBorders>
              <w:top w:val="nil"/>
              <w:left w:val="single" w:color="auto" w:sz="4" w:space="0"/>
              <w:bottom w:val="single" w:color="auto" w:sz="4" w:space="0"/>
              <w:right w:val="single" w:color="auto" w:sz="4" w:space="0"/>
            </w:tcBorders>
            <w:vAlign w:val="center"/>
          </w:tcPr>
          <w:p w14:paraId="653E0DBB">
            <w:pPr>
              <w:widowControl/>
              <w:jc w:val="center"/>
              <w:rPr>
                <w:rFonts w:ascii="Times New Roman" w:hAnsi="Times New Roman" w:eastAsia="仿宋_GB2312" w:cs="Times New Roman"/>
                <w:color w:val="000000"/>
                <w:kern w:val="0"/>
                <w:sz w:val="28"/>
                <w:szCs w:val="28"/>
                <w14:ligatures w14:val="none"/>
              </w:rPr>
            </w:pPr>
          </w:p>
        </w:tc>
        <w:tc>
          <w:tcPr>
            <w:tcW w:w="562" w:type="pct"/>
            <w:vMerge w:val="continue"/>
            <w:tcBorders>
              <w:top w:val="nil"/>
              <w:left w:val="single" w:color="auto" w:sz="4" w:space="0"/>
              <w:bottom w:val="single" w:color="000000" w:sz="4" w:space="0"/>
              <w:right w:val="single" w:color="auto" w:sz="4" w:space="0"/>
            </w:tcBorders>
            <w:vAlign w:val="center"/>
          </w:tcPr>
          <w:p w14:paraId="13D6E095">
            <w:pPr>
              <w:widowControl/>
              <w:jc w:val="center"/>
              <w:rPr>
                <w:rFonts w:ascii="Times New Roman" w:hAnsi="Times New Roman" w:eastAsia="仿宋_GB2312" w:cs="Times New Roman"/>
                <w:color w:val="000000"/>
                <w:kern w:val="0"/>
                <w:sz w:val="28"/>
                <w:szCs w:val="28"/>
                <w14:ligatures w14:val="none"/>
              </w:rPr>
            </w:pPr>
          </w:p>
        </w:tc>
        <w:tc>
          <w:tcPr>
            <w:tcW w:w="2107" w:type="pct"/>
            <w:vMerge w:val="continue"/>
            <w:tcBorders>
              <w:top w:val="nil"/>
              <w:left w:val="single" w:color="auto" w:sz="4" w:space="0"/>
              <w:bottom w:val="single" w:color="auto" w:sz="4" w:space="0"/>
              <w:right w:val="single" w:color="auto" w:sz="4" w:space="0"/>
            </w:tcBorders>
            <w:vAlign w:val="center"/>
          </w:tcPr>
          <w:p w14:paraId="666A335A">
            <w:pPr>
              <w:widowControl/>
              <w:jc w:val="center"/>
              <w:rPr>
                <w:rFonts w:ascii="Times New Roman" w:hAnsi="Times New Roman" w:eastAsia="仿宋_GB2312" w:cs="Times New Roman"/>
                <w:color w:val="000000"/>
                <w:kern w:val="0"/>
                <w:sz w:val="28"/>
                <w:szCs w:val="28"/>
                <w14:ligatures w14:val="none"/>
              </w:rPr>
            </w:pPr>
          </w:p>
        </w:tc>
        <w:tc>
          <w:tcPr>
            <w:tcW w:w="945" w:type="pct"/>
            <w:vMerge w:val="continue"/>
            <w:tcBorders>
              <w:top w:val="nil"/>
              <w:left w:val="single" w:color="auto" w:sz="4" w:space="0"/>
              <w:bottom w:val="single" w:color="auto" w:sz="4" w:space="0"/>
              <w:right w:val="single" w:color="auto" w:sz="4" w:space="0"/>
            </w:tcBorders>
            <w:vAlign w:val="center"/>
          </w:tcPr>
          <w:p w14:paraId="3F8D4A9C">
            <w:pPr>
              <w:widowControl/>
              <w:jc w:val="center"/>
              <w:rPr>
                <w:rFonts w:ascii="Times New Roman" w:hAnsi="Times New Roman" w:eastAsia="仿宋_GB2312" w:cs="Times New Roman"/>
                <w:color w:val="000000"/>
                <w:kern w:val="0"/>
                <w:sz w:val="28"/>
                <w:szCs w:val="28"/>
                <w14:ligatures w14:val="none"/>
              </w:rPr>
            </w:pPr>
          </w:p>
        </w:tc>
        <w:tc>
          <w:tcPr>
            <w:tcW w:w="948" w:type="pct"/>
            <w:vMerge w:val="continue"/>
            <w:tcBorders>
              <w:top w:val="nil"/>
              <w:left w:val="single" w:color="auto" w:sz="4" w:space="0"/>
              <w:bottom w:val="single" w:color="auto" w:sz="4" w:space="0"/>
              <w:right w:val="single" w:color="auto" w:sz="4" w:space="0"/>
            </w:tcBorders>
            <w:vAlign w:val="center"/>
          </w:tcPr>
          <w:p w14:paraId="12E2ED95">
            <w:pPr>
              <w:widowControl/>
              <w:jc w:val="center"/>
              <w:rPr>
                <w:rFonts w:ascii="Times New Roman" w:hAnsi="Times New Roman" w:eastAsia="仿宋_GB2312" w:cs="Times New Roman"/>
                <w:color w:val="000000"/>
                <w:kern w:val="0"/>
                <w:sz w:val="28"/>
                <w:szCs w:val="28"/>
                <w14:ligatures w14:val="none"/>
              </w:rPr>
            </w:pPr>
          </w:p>
        </w:tc>
      </w:tr>
    </w:tbl>
    <w:p w14:paraId="24DCEB48">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*是指患者中通过病原学检测确诊的比例，此指标可用于评价结核病诊断的精准性，提高诊断效率和质量。</w:t>
      </w:r>
    </w:p>
    <w:p w14:paraId="0AD5451B">
      <w:pPr>
        <w:pStyle w:val="12"/>
        <w:widowControl/>
        <w:shd w:val="clear" w:color="auto" w:fill="FFFFFF"/>
        <w:spacing w:beforeAutospacing="0" w:afterAutospacing="0" w:line="560" w:lineRule="exact"/>
        <w:ind w:firstLine="640" w:firstLineChars="200"/>
        <w:rPr>
          <w:rFonts w:ascii="Times New Roman" w:hAnsi="Times New Roman" w:eastAsia="黑体"/>
          <w:sz w:val="32"/>
          <w:szCs w:val="32"/>
        </w:rPr>
      </w:pPr>
      <w:r>
        <w:rPr>
          <w:rFonts w:ascii="Times New Roman" w:hAnsi="Times New Roman" w:eastAsia="黑体"/>
          <w:sz w:val="32"/>
          <w:szCs w:val="32"/>
        </w:rPr>
        <w:t>二、防治措施</w:t>
      </w:r>
    </w:p>
    <w:p w14:paraId="7808F6F1">
      <w:pPr>
        <w:spacing w:line="560" w:lineRule="exact"/>
        <w:ind w:firstLine="640" w:firstLineChars="200"/>
        <w:rPr>
          <w:rFonts w:ascii="Times New Roman" w:hAnsi="Times New Roman" w:eastAsia="楷体_GB2312" w:cs="Times New Roman"/>
          <w:sz w:val="32"/>
          <w:szCs w:val="32"/>
          <w14:ligatures w14:val="none"/>
        </w:rPr>
      </w:pPr>
      <w:bookmarkStart w:id="2" w:name="OLE_LINK5"/>
      <w:r>
        <w:rPr>
          <w:rFonts w:ascii="Times New Roman" w:hAnsi="Times New Roman" w:eastAsia="楷体_GB2312" w:cs="Times New Roman"/>
          <w:sz w:val="32"/>
          <w:szCs w:val="32"/>
          <w14:ligatures w14:val="none"/>
        </w:rPr>
        <w:t>（</w:t>
      </w:r>
      <w:r>
        <w:rPr>
          <w:rFonts w:hint="eastAsia" w:ascii="Times New Roman" w:hAnsi="Times New Roman" w:eastAsia="楷体_GB2312" w:cs="Times New Roman"/>
          <w:sz w:val="32"/>
          <w:szCs w:val="32"/>
          <w:lang w:eastAsia="zh-CN"/>
          <w14:ligatures w14:val="none"/>
        </w:rPr>
        <w:t>一</w:t>
      </w:r>
      <w:r>
        <w:rPr>
          <w:rFonts w:ascii="Times New Roman" w:hAnsi="Times New Roman" w:eastAsia="楷体_GB2312" w:cs="Times New Roman"/>
          <w:sz w:val="32"/>
          <w:szCs w:val="32"/>
          <w14:ligatures w14:val="none"/>
        </w:rPr>
        <w:t>）</w:t>
      </w:r>
      <w:r>
        <w:rPr>
          <w:rFonts w:hint="eastAsia" w:ascii="Times New Roman" w:hAnsi="Times New Roman" w:eastAsia="楷体_GB2312" w:cs="Times New Roman"/>
          <w:sz w:val="32"/>
          <w:szCs w:val="32"/>
          <w14:ligatures w14:val="none"/>
        </w:rPr>
        <w:t>健全防治体系建设，强化支撑保障能力</w:t>
      </w:r>
    </w:p>
    <w:p w14:paraId="5D472C84">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w:t>
      </w:r>
      <w:r>
        <w:rPr>
          <w:rFonts w:hint="eastAsia"/>
        </w:rPr>
        <w:t xml:space="preserve"> </w:t>
      </w:r>
      <w:r>
        <w:rPr>
          <w:rFonts w:hint="eastAsia" w:ascii="Times New Roman" w:hAnsi="Times New Roman" w:eastAsia="仿宋_GB2312" w:cs="Times New Roman"/>
          <w:sz w:val="32"/>
          <w:szCs w:val="32"/>
        </w:rPr>
        <w:t>深化</w:t>
      </w:r>
      <w:r>
        <w:rPr>
          <w:rFonts w:ascii="Times New Roman" w:hAnsi="Times New Roman" w:eastAsia="仿宋_GB2312" w:cs="Times New Roman"/>
          <w:sz w:val="32"/>
          <w:szCs w:val="32"/>
        </w:rPr>
        <w:t xml:space="preserve"> “四位一体” 协同体系。</w:t>
      </w:r>
      <w:r>
        <w:rPr>
          <w:rFonts w:hint="eastAsia" w:ascii="Times New Roman" w:hAnsi="Times New Roman" w:eastAsia="仿宋_GB2312" w:cs="Times New Roman"/>
          <w:sz w:val="32"/>
          <w:szCs w:val="32"/>
        </w:rPr>
        <w:t>继续推</w:t>
      </w:r>
      <w:r>
        <w:rPr>
          <w:rFonts w:hint="eastAsia" w:ascii="Times New Roman" w:hAnsi="Times New Roman" w:eastAsia="仿宋_GB2312" w:cs="Times New Roman"/>
          <w:sz w:val="32"/>
          <w:szCs w:val="32"/>
          <w:lang w:eastAsia="zh-CN"/>
        </w:rPr>
        <w:t>进</w:t>
      </w:r>
      <w:r>
        <w:rPr>
          <w:rFonts w:ascii="Times New Roman" w:hAnsi="Times New Roman" w:eastAsia="仿宋_GB2312" w:cs="Times New Roman"/>
          <w:sz w:val="32"/>
          <w:szCs w:val="32"/>
        </w:rPr>
        <w:t>疾控机构、非定点医疗机构、定点医疗机构、基层医疗卫生机构“四位一体”结核病防控体系，明确和夯实各机构结核病防控责任，促进医防融合与协同。加强市区两级结核病定点医疗机构诊疗联动、分级诊疗，提升结核病诊疗服务质量。优化我市结核病定点医疗机构设置，加强规范化建设。</w:t>
      </w:r>
    </w:p>
    <w:p w14:paraId="7A44340A">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w:t>
      </w:r>
      <w:r>
        <w:rPr>
          <w:rFonts w:hint="eastAsia"/>
        </w:rPr>
        <w:t xml:space="preserve"> </w:t>
      </w:r>
      <w:r>
        <w:rPr>
          <w:rFonts w:hint="eastAsia" w:ascii="Times New Roman" w:hAnsi="Times New Roman" w:eastAsia="仿宋_GB2312" w:cs="Times New Roman"/>
          <w:sz w:val="32"/>
          <w:szCs w:val="32"/>
        </w:rPr>
        <w:t>构建肺外结核防治</w:t>
      </w:r>
      <w:r>
        <w:rPr>
          <w:rFonts w:hint="eastAsia" w:ascii="Times New Roman" w:hAnsi="Times New Roman" w:eastAsia="仿宋_GB2312" w:cs="Times New Roman"/>
          <w:sz w:val="32"/>
          <w:szCs w:val="32"/>
          <w:lang w:eastAsia="zh-CN"/>
        </w:rPr>
        <w:t>网络</w:t>
      </w:r>
      <w:r>
        <w:rPr>
          <w:rFonts w:ascii="Times New Roman" w:hAnsi="Times New Roman" w:eastAsia="仿宋_GB2312" w:cs="Times New Roman"/>
          <w:sz w:val="32"/>
          <w:szCs w:val="32"/>
        </w:rPr>
        <w:t>。完善肺外结核病报告登记制度，开展肺外结核病防治试点工作，稳步推进肺外结核病患者抗结核治疗工作，探索肺外结核病患者治疗管理模式。</w:t>
      </w:r>
    </w:p>
    <w:p w14:paraId="149335CD">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rPr>
        <w:t>.</w:t>
      </w:r>
      <w:r>
        <w:rPr>
          <w:rFonts w:hint="eastAsia"/>
        </w:rPr>
        <w:t xml:space="preserve"> </w:t>
      </w:r>
      <w:r>
        <w:rPr>
          <w:rFonts w:hint="eastAsia" w:ascii="Times New Roman" w:hAnsi="Times New Roman" w:eastAsia="仿宋_GB2312" w:cs="Times New Roman"/>
          <w:sz w:val="32"/>
          <w:szCs w:val="32"/>
        </w:rPr>
        <w:t>推广人工智能应用</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基于传染病智能监测预警前置软件构建肺结核智能识别及预警机制，提升患者早期诊断效能。探索运用人工智能等新兴技术优化服务流程，深化定点与非定点医疗机构诊疗协作联动，赋能结核病防治体系建设。</w:t>
      </w:r>
    </w:p>
    <w:p w14:paraId="35DF6FEA">
      <w:pPr>
        <w:ind w:firstLine="640" w:firstLineChars="200"/>
        <w:rPr>
          <w:rFonts w:ascii="Times New Roman" w:hAnsi="Times New Roman" w:eastAsia="楷体_GB2312" w:cs="Times New Roman"/>
          <w:sz w:val="32"/>
          <w:szCs w:val="32"/>
          <w14:ligatures w14:val="none"/>
        </w:rPr>
      </w:pP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rPr>
        <w:t>.</w:t>
      </w:r>
      <w:r>
        <w:rPr>
          <w:rFonts w:hint="eastAsia"/>
        </w:rPr>
        <w:t xml:space="preserve"> </w:t>
      </w:r>
      <w:r>
        <w:rPr>
          <w:rFonts w:hint="eastAsia" w:ascii="Times New Roman" w:hAnsi="Times New Roman" w:eastAsia="仿宋_GB2312" w:cs="Times New Roman"/>
          <w:sz w:val="32"/>
          <w:szCs w:val="32"/>
        </w:rPr>
        <w:t>加强</w:t>
      </w:r>
      <w:r>
        <w:rPr>
          <w:rFonts w:hint="eastAsia" w:ascii="Times New Roman" w:hAnsi="Times New Roman" w:eastAsia="仿宋_GB2312" w:cs="Times New Roman"/>
          <w:sz w:val="32"/>
          <w:szCs w:val="32"/>
          <w:lang w:eastAsia="zh-CN"/>
        </w:rPr>
        <w:t>人员队伍建设</w:t>
      </w:r>
      <w:r>
        <w:rPr>
          <w:rFonts w:hint="eastAsia" w:ascii="Times New Roman" w:hAnsi="Times New Roman" w:eastAsia="仿宋_GB2312" w:cs="Times New Roman"/>
          <w:sz w:val="32"/>
          <w:szCs w:val="32"/>
        </w:rPr>
        <w:t>。强化各级疾控、定点医疗机构结核病防治人员队伍建设，保障其薪资待遇和职业发展。鼓励和支持防治能力提升、学术研究和创新，积极参与国内外交流合作。</w:t>
      </w:r>
    </w:p>
    <w:p w14:paraId="61CB4916">
      <w:pPr>
        <w:spacing w:line="560" w:lineRule="exact"/>
        <w:ind w:firstLine="640" w:firstLineChars="200"/>
        <w:rPr>
          <w:rFonts w:ascii="Times New Roman" w:hAnsi="Times New Roman" w:eastAsia="楷体_GB2312" w:cs="Times New Roman"/>
          <w:sz w:val="32"/>
          <w:szCs w:val="32"/>
          <w14:ligatures w14:val="none"/>
        </w:rPr>
      </w:pPr>
      <w:r>
        <w:rPr>
          <w:rFonts w:ascii="Times New Roman" w:hAnsi="Times New Roman" w:eastAsia="楷体_GB2312" w:cs="Times New Roman"/>
          <w:sz w:val="32"/>
          <w:szCs w:val="32"/>
          <w14:ligatures w14:val="none"/>
        </w:rPr>
        <w:t>（</w:t>
      </w:r>
      <w:r>
        <w:rPr>
          <w:rFonts w:hint="eastAsia" w:ascii="Times New Roman" w:hAnsi="Times New Roman" w:eastAsia="楷体_GB2312" w:cs="Times New Roman"/>
          <w:sz w:val="32"/>
          <w:szCs w:val="32"/>
          <w:lang w:eastAsia="zh-CN"/>
          <w14:ligatures w14:val="none"/>
        </w:rPr>
        <w:t>二</w:t>
      </w:r>
      <w:r>
        <w:rPr>
          <w:rFonts w:ascii="Times New Roman" w:hAnsi="Times New Roman" w:eastAsia="楷体_GB2312" w:cs="Times New Roman"/>
          <w:sz w:val="32"/>
          <w:szCs w:val="32"/>
          <w14:ligatures w14:val="none"/>
        </w:rPr>
        <w:t>）</w:t>
      </w:r>
      <w:r>
        <w:rPr>
          <w:rFonts w:hint="eastAsia" w:ascii="Times New Roman" w:hAnsi="Times New Roman" w:eastAsia="楷体_GB2312" w:cs="Times New Roman"/>
          <w:sz w:val="32"/>
          <w:szCs w:val="32"/>
          <w14:ligatures w14:val="none"/>
        </w:rPr>
        <w:t>精准推进早期发现，拓宽筛查覆盖范围</w:t>
      </w:r>
    </w:p>
    <w:p w14:paraId="54D34993">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强化高风险人群精准筛查</w:t>
      </w:r>
      <w:r>
        <w:rPr>
          <w:rFonts w:ascii="Times New Roman" w:hAnsi="Times New Roman" w:eastAsia="仿宋_GB2312" w:cs="Times New Roman"/>
          <w:sz w:val="32"/>
          <w:szCs w:val="32"/>
        </w:rPr>
        <w:t>。对活动性肺结核患者开展流行病学调查，对其密切接触者开展结核潜伏感染检测和结核病检查。艾滋病病毒感染者、停药2年内的既往结核病患者、长期使用免疫抑制剂者、65岁及以上人群和糖尿病患者开展结核病筛查。新确诊糖尿病患者应及时开展一次结核病检查。</w:t>
      </w:r>
    </w:p>
    <w:p w14:paraId="39740821">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6</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规范</w:t>
      </w:r>
      <w:r>
        <w:rPr>
          <w:rFonts w:ascii="Times New Roman" w:hAnsi="Times New Roman" w:eastAsia="仿宋_GB2312" w:cs="Times New Roman"/>
          <w:sz w:val="32"/>
          <w:szCs w:val="32"/>
        </w:rPr>
        <w:t>监管人群主动发现与管理。在监管人群中开展主动、被动相结合的结核病患者发现，推行监管场所内督导化疗，强化患者诊断、治疗和管理信息的上报与利用，完善治疗中离监患者返回社区继续治疗管理的衔接机制，推动结核潜伏感染检测和干预。</w:t>
      </w:r>
    </w:p>
    <w:p w14:paraId="53304D2F">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7</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深化重点场所结核病筛查防控</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加强</w:t>
      </w:r>
      <w:r>
        <w:rPr>
          <w:rFonts w:ascii="Times New Roman" w:hAnsi="Times New Roman" w:eastAsia="仿宋_GB2312" w:cs="Times New Roman"/>
          <w:sz w:val="32"/>
          <w:szCs w:val="32"/>
        </w:rPr>
        <w:t>学校新生、教职工体检，在重点学段、高疫情地区来津生源中开展结核病</w:t>
      </w:r>
      <w:r>
        <w:rPr>
          <w:rFonts w:hint="eastAsia" w:ascii="Times New Roman" w:hAnsi="Times New Roman" w:eastAsia="仿宋_GB2312" w:cs="Times New Roman"/>
          <w:sz w:val="32"/>
          <w:szCs w:val="32"/>
        </w:rPr>
        <w:t>检</w:t>
      </w:r>
      <w:r>
        <w:rPr>
          <w:rFonts w:ascii="Times New Roman" w:hAnsi="Times New Roman" w:eastAsia="仿宋_GB2312" w:cs="Times New Roman"/>
          <w:sz w:val="32"/>
          <w:szCs w:val="32"/>
        </w:rPr>
        <w:t>查</w:t>
      </w:r>
      <w:r>
        <w:rPr>
          <w:rFonts w:hint="eastAsia" w:ascii="Times New Roman" w:hAnsi="Times New Roman" w:eastAsia="仿宋_GB2312" w:cs="Times New Roman"/>
          <w:sz w:val="32"/>
          <w:szCs w:val="32"/>
        </w:rPr>
        <w:t>，</w:t>
      </w:r>
      <w:bookmarkStart w:id="3" w:name="OLE_LINK3"/>
      <w:bookmarkStart w:id="4" w:name="OLE_LINK4"/>
      <w:r>
        <w:rPr>
          <w:rFonts w:hint="eastAsia" w:ascii="Times New Roman" w:hAnsi="Times New Roman" w:eastAsia="仿宋_GB2312" w:cs="Times New Roman"/>
          <w:sz w:val="32"/>
          <w:szCs w:val="32"/>
        </w:rPr>
        <w:t>深化“无结核校园”试点工作成效</w:t>
      </w:r>
      <w:bookmarkEnd w:id="3"/>
      <w:bookmarkEnd w:id="4"/>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探索将结核病检查</w:t>
      </w:r>
      <w:r>
        <w:rPr>
          <w:rFonts w:hint="eastAsia" w:ascii="Times New Roman" w:hAnsi="Times New Roman" w:eastAsia="仿宋_GB2312" w:cs="Times New Roman"/>
          <w:sz w:val="32"/>
          <w:szCs w:val="32"/>
        </w:rPr>
        <w:t>纳入</w:t>
      </w:r>
      <w:r>
        <w:rPr>
          <w:rFonts w:ascii="Times New Roman" w:hAnsi="Times New Roman" w:eastAsia="仿宋_GB2312" w:cs="Times New Roman"/>
          <w:sz w:val="32"/>
          <w:szCs w:val="32"/>
        </w:rPr>
        <w:t>精神病医院和救助保护机构新入院（入职）检查</w:t>
      </w:r>
      <w:r>
        <w:rPr>
          <w:rFonts w:hint="eastAsia" w:ascii="Times New Roman" w:hAnsi="Times New Roman" w:eastAsia="仿宋_GB2312" w:cs="Times New Roman"/>
          <w:sz w:val="32"/>
          <w:szCs w:val="32"/>
        </w:rPr>
        <w:t>和定期检查</w:t>
      </w:r>
      <w:r>
        <w:rPr>
          <w:rFonts w:ascii="Times New Roman" w:hAnsi="Times New Roman" w:eastAsia="仿宋_GB2312" w:cs="Times New Roman"/>
          <w:sz w:val="32"/>
          <w:szCs w:val="32"/>
        </w:rPr>
        <w:t>的</w:t>
      </w:r>
      <w:r>
        <w:rPr>
          <w:rFonts w:hint="eastAsia" w:ascii="Times New Roman" w:hAnsi="Times New Roman" w:eastAsia="仿宋_GB2312" w:cs="Times New Roman"/>
          <w:sz w:val="32"/>
          <w:szCs w:val="32"/>
        </w:rPr>
        <w:t>内容</w:t>
      </w:r>
      <w:r>
        <w:rPr>
          <w:rFonts w:ascii="Times New Roman" w:hAnsi="Times New Roman" w:eastAsia="仿宋_GB2312" w:cs="Times New Roman"/>
          <w:sz w:val="32"/>
          <w:szCs w:val="32"/>
        </w:rPr>
        <w:t>，优化养老机构和社会福利机构中的结核病检查措施。</w:t>
      </w:r>
    </w:p>
    <w:p w14:paraId="2C8200A3">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8</w:t>
      </w:r>
      <w:r>
        <w:rPr>
          <w:rFonts w:hint="eastAsia" w:ascii="Times New Roman" w:hAnsi="Times New Roman" w:eastAsia="仿宋_GB2312" w:cs="Times New Roman"/>
          <w:sz w:val="32"/>
          <w:szCs w:val="32"/>
        </w:rPr>
        <w:t>.聚焦多元群体筛查与社区防控</w:t>
      </w:r>
      <w:r>
        <w:rPr>
          <w:rFonts w:ascii="Times New Roman" w:hAnsi="Times New Roman" w:eastAsia="仿宋_GB2312" w:cs="Times New Roman"/>
          <w:sz w:val="32"/>
          <w:szCs w:val="32"/>
        </w:rPr>
        <w:t>。加强</w:t>
      </w:r>
      <w:r>
        <w:rPr>
          <w:rFonts w:hint="eastAsia" w:ascii="Times New Roman" w:hAnsi="Times New Roman" w:eastAsia="仿宋_GB2312" w:cs="Times New Roman"/>
          <w:sz w:val="32"/>
          <w:szCs w:val="32"/>
        </w:rPr>
        <w:t>社区、企业等</w:t>
      </w:r>
      <w:r>
        <w:rPr>
          <w:rFonts w:ascii="Times New Roman" w:hAnsi="Times New Roman" w:eastAsia="仿宋_GB2312" w:cs="Times New Roman"/>
          <w:sz w:val="32"/>
          <w:szCs w:val="32"/>
        </w:rPr>
        <w:t>人口流动</w:t>
      </w:r>
      <w:r>
        <w:rPr>
          <w:rFonts w:hint="eastAsia" w:ascii="Times New Roman" w:hAnsi="Times New Roman" w:eastAsia="仿宋_GB2312" w:cs="Times New Roman"/>
          <w:sz w:val="32"/>
          <w:szCs w:val="32"/>
        </w:rPr>
        <w:t>频繁且人员密集</w:t>
      </w:r>
      <w:r>
        <w:rPr>
          <w:rFonts w:ascii="Times New Roman" w:hAnsi="Times New Roman" w:eastAsia="仿宋_GB2312" w:cs="Times New Roman"/>
          <w:sz w:val="32"/>
          <w:szCs w:val="32"/>
        </w:rPr>
        <w:t>场所</w:t>
      </w:r>
      <w:r>
        <w:rPr>
          <w:rFonts w:hint="eastAsia" w:ascii="Times New Roman" w:hAnsi="Times New Roman" w:eastAsia="仿宋_GB2312" w:cs="Times New Roman"/>
          <w:sz w:val="32"/>
          <w:szCs w:val="32"/>
        </w:rPr>
        <w:t>的</w:t>
      </w:r>
      <w:r>
        <w:rPr>
          <w:rFonts w:ascii="Times New Roman" w:hAnsi="Times New Roman" w:eastAsia="仿宋_GB2312" w:cs="Times New Roman"/>
          <w:sz w:val="32"/>
          <w:szCs w:val="32"/>
        </w:rPr>
        <w:t>结核病防控，积极推广使用便捷有效的筛查技术，提高结核病主动筛查效率，</w:t>
      </w:r>
      <w:r>
        <w:rPr>
          <w:rFonts w:hint="eastAsia" w:ascii="Times New Roman" w:hAnsi="Times New Roman" w:eastAsia="仿宋_GB2312" w:cs="Times New Roman"/>
          <w:sz w:val="32"/>
          <w:szCs w:val="32"/>
        </w:rPr>
        <w:t>推进“无结核社区”试点深化，强化成效落地。</w:t>
      </w:r>
      <w:r>
        <w:rPr>
          <w:rFonts w:hint="eastAsia" w:ascii="Times New Roman" w:hAnsi="Times New Roman" w:eastAsia="仿宋_GB2312" w:cs="Times New Roman"/>
          <w:sz w:val="32"/>
          <w:szCs w:val="32"/>
          <w:lang w:eastAsia="zh-CN"/>
        </w:rPr>
        <w:t>加强</w:t>
      </w:r>
      <w:r>
        <w:rPr>
          <w:rFonts w:ascii="Times New Roman" w:hAnsi="Times New Roman" w:eastAsia="仿宋_GB2312" w:cs="Times New Roman"/>
          <w:sz w:val="32"/>
          <w:szCs w:val="32"/>
        </w:rPr>
        <w:t>疾控与农业农村部门的对接机制，做好疫情信息通报。</w:t>
      </w:r>
    </w:p>
    <w:p w14:paraId="5AF4F142">
      <w:pPr>
        <w:spacing w:line="560" w:lineRule="exact"/>
        <w:ind w:firstLine="640" w:firstLineChars="200"/>
        <w:rPr>
          <w:rFonts w:hint="eastAsia" w:ascii="Times New Roman" w:hAnsi="Times New Roman" w:eastAsia="楷体_GB2312" w:cs="Times New Roman"/>
          <w:sz w:val="32"/>
          <w:szCs w:val="32"/>
          <w:lang w:eastAsia="zh-CN"/>
          <w14:ligatures w14:val="none"/>
        </w:rPr>
      </w:pPr>
      <w:r>
        <w:rPr>
          <w:rFonts w:ascii="Times New Roman" w:hAnsi="Times New Roman" w:eastAsia="楷体_GB2312" w:cs="Times New Roman"/>
          <w:sz w:val="32"/>
          <w:szCs w:val="32"/>
          <w14:ligatures w14:val="none"/>
        </w:rPr>
        <w:t>（</w:t>
      </w:r>
      <w:r>
        <w:rPr>
          <w:rFonts w:hint="eastAsia" w:ascii="Times New Roman" w:hAnsi="Times New Roman" w:eastAsia="楷体_GB2312" w:cs="Times New Roman"/>
          <w:sz w:val="32"/>
          <w:szCs w:val="32"/>
          <w:lang w:eastAsia="zh-CN"/>
          <w14:ligatures w14:val="none"/>
        </w:rPr>
        <w:t>三</w:t>
      </w:r>
      <w:r>
        <w:rPr>
          <w:rFonts w:ascii="Times New Roman" w:hAnsi="Times New Roman" w:eastAsia="楷体_GB2312" w:cs="Times New Roman"/>
          <w:sz w:val="32"/>
          <w:szCs w:val="32"/>
          <w14:ligatures w14:val="none"/>
        </w:rPr>
        <w:t>）</w:t>
      </w:r>
      <w:r>
        <w:rPr>
          <w:rFonts w:hint="eastAsia" w:ascii="Times New Roman" w:hAnsi="Times New Roman" w:eastAsia="楷体_GB2312" w:cs="Times New Roman"/>
          <w:sz w:val="32"/>
          <w:szCs w:val="32"/>
          <w14:ligatures w14:val="none"/>
        </w:rPr>
        <w:t>提升诊疗管理质量，</w:t>
      </w:r>
      <w:r>
        <w:rPr>
          <w:rFonts w:hint="eastAsia" w:ascii="Times New Roman" w:hAnsi="Times New Roman" w:eastAsia="楷体_GB2312" w:cs="Times New Roman"/>
          <w:sz w:val="32"/>
          <w:szCs w:val="32"/>
          <w:lang w:eastAsia="zh-CN"/>
          <w14:ligatures w14:val="none"/>
        </w:rPr>
        <w:t>强化全流程管理</w:t>
      </w:r>
    </w:p>
    <w:p w14:paraId="4748CD3D">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9</w:t>
      </w:r>
      <w:r>
        <w:rPr>
          <w:rFonts w:ascii="Times New Roman" w:hAnsi="Times New Roman" w:eastAsia="仿宋_GB2312" w:cs="Times New Roman"/>
          <w:sz w:val="32"/>
          <w:szCs w:val="32"/>
        </w:rPr>
        <w:t>.</w:t>
      </w:r>
      <w:r>
        <w:rPr>
          <w:rFonts w:hint="eastAsia"/>
        </w:rPr>
        <w:t xml:space="preserve"> </w:t>
      </w:r>
      <w:r>
        <w:rPr>
          <w:rFonts w:hint="eastAsia" w:ascii="Times New Roman" w:hAnsi="Times New Roman" w:eastAsia="仿宋_GB2312" w:cs="Times New Roman"/>
          <w:sz w:val="32"/>
          <w:szCs w:val="32"/>
        </w:rPr>
        <w:t>规范病例诊断报告</w:t>
      </w:r>
      <w:r>
        <w:rPr>
          <w:rFonts w:ascii="Times New Roman" w:hAnsi="Times New Roman" w:eastAsia="仿宋_GB2312" w:cs="Times New Roman"/>
          <w:sz w:val="32"/>
          <w:szCs w:val="32"/>
        </w:rPr>
        <w:t>。强化市区两级结核病疫情监测医院的病例早发现和报告职能</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对就诊的具有肺结核可疑症状者和发病高风险人群开展结核潜伏感染检测、胸部影像学和病原学等检查，提高诊断的及时性。对发现的</w:t>
      </w:r>
      <w:r>
        <w:rPr>
          <w:rFonts w:hint="eastAsia" w:ascii="Times New Roman" w:hAnsi="Times New Roman" w:eastAsia="仿宋_GB2312" w:cs="Times New Roman"/>
          <w:sz w:val="32"/>
          <w:szCs w:val="32"/>
        </w:rPr>
        <w:t>确诊和疑似</w:t>
      </w:r>
      <w:r>
        <w:rPr>
          <w:rFonts w:ascii="Times New Roman" w:hAnsi="Times New Roman" w:eastAsia="仿宋_GB2312" w:cs="Times New Roman"/>
          <w:sz w:val="32"/>
          <w:szCs w:val="32"/>
        </w:rPr>
        <w:t>肺结核患者及时报告、转诊和登记。</w:t>
      </w:r>
    </w:p>
    <w:p w14:paraId="4584B74D">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10</w:t>
      </w:r>
      <w:r>
        <w:rPr>
          <w:rFonts w:ascii="Times New Roman" w:hAnsi="Times New Roman" w:eastAsia="仿宋_GB2312" w:cs="Times New Roman"/>
          <w:sz w:val="32"/>
          <w:szCs w:val="32"/>
        </w:rPr>
        <w:t>.</w:t>
      </w:r>
      <w:r>
        <w:rPr>
          <w:rFonts w:hint="eastAsia"/>
        </w:rPr>
        <w:t xml:space="preserve"> </w:t>
      </w:r>
      <w:r>
        <w:rPr>
          <w:rFonts w:hint="eastAsia" w:ascii="Times New Roman" w:hAnsi="Times New Roman" w:eastAsia="仿宋_GB2312" w:cs="Times New Roman"/>
          <w:sz w:val="32"/>
          <w:szCs w:val="32"/>
        </w:rPr>
        <w:t>优化治疗方案实施</w:t>
      </w:r>
      <w:r>
        <w:rPr>
          <w:rFonts w:ascii="Times New Roman" w:hAnsi="Times New Roman" w:eastAsia="仿宋_GB2312" w:cs="Times New Roman"/>
          <w:sz w:val="32"/>
          <w:szCs w:val="32"/>
        </w:rPr>
        <w:t>。提高利福平敏感肺结核患者初始标准化治疗方案、固定剂量复合制剂使用率。落实传染性肺结核患者的规范隔离治疗。完善结核病会诊、病案讨论制度，落实病原学阴性肺结核诊断小组定诊流程，提升诊疗质量。严格落实结核病防治工作技术规范和指南等要求。</w:t>
      </w:r>
    </w:p>
    <w:p w14:paraId="4C2427C9">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11</w:t>
      </w:r>
      <w:r>
        <w:rPr>
          <w:rFonts w:ascii="Times New Roman" w:hAnsi="Times New Roman" w:eastAsia="仿宋_GB2312" w:cs="Times New Roman"/>
          <w:sz w:val="32"/>
          <w:szCs w:val="32"/>
        </w:rPr>
        <w:t>.</w:t>
      </w:r>
      <w:r>
        <w:rPr>
          <w:rFonts w:hint="eastAsia"/>
        </w:rPr>
        <w:t xml:space="preserve"> </w:t>
      </w:r>
      <w:r>
        <w:rPr>
          <w:rFonts w:hint="eastAsia" w:ascii="Times New Roman" w:hAnsi="Times New Roman" w:eastAsia="仿宋_GB2312" w:cs="Times New Roman"/>
          <w:sz w:val="32"/>
          <w:szCs w:val="32"/>
        </w:rPr>
        <w:t>完善全程管理机制</w:t>
      </w:r>
      <w:r>
        <w:rPr>
          <w:rFonts w:ascii="Times New Roman" w:hAnsi="Times New Roman" w:eastAsia="仿宋_GB2312" w:cs="Times New Roman"/>
          <w:sz w:val="32"/>
          <w:szCs w:val="32"/>
        </w:rPr>
        <w:t>。利用公共卫生信息化平台，及时录入患者信息，构建各机构间信息互通机制，实现诊疗全过程信息智能化采集，为结核病患者提供覆盖筛查、诊治和随访的全程管理服务</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结合国家基本公共卫生服务项目和家庭医生签约服务，各基层医疗卫生机构利用智能化服药管理系统，对辖区肺结核患者进行规范的督导管理，提高患者服药依从性。</w:t>
      </w:r>
    </w:p>
    <w:p w14:paraId="5D417317">
      <w:pPr>
        <w:spacing w:line="560" w:lineRule="exact"/>
        <w:ind w:firstLine="640" w:firstLineChars="200"/>
        <w:rPr>
          <w:rFonts w:ascii="Times New Roman" w:hAnsi="Times New Roman" w:eastAsia="楷体_GB2312" w:cs="Times New Roman"/>
          <w:sz w:val="32"/>
          <w:szCs w:val="32"/>
          <w14:ligatures w14:val="none"/>
        </w:rPr>
      </w:pPr>
      <w:r>
        <w:rPr>
          <w:rFonts w:ascii="Times New Roman" w:hAnsi="Times New Roman" w:eastAsia="楷体_GB2312" w:cs="Times New Roman"/>
          <w:sz w:val="32"/>
          <w:szCs w:val="32"/>
          <w14:ligatures w14:val="none"/>
        </w:rPr>
        <w:t>（</w:t>
      </w:r>
      <w:r>
        <w:rPr>
          <w:rFonts w:hint="eastAsia" w:ascii="Times New Roman" w:hAnsi="Times New Roman" w:eastAsia="楷体_GB2312" w:cs="Times New Roman"/>
          <w:sz w:val="32"/>
          <w:szCs w:val="32"/>
          <w:lang w:eastAsia="zh-CN"/>
          <w14:ligatures w14:val="none"/>
        </w:rPr>
        <w:t>四</w:t>
      </w:r>
      <w:r>
        <w:rPr>
          <w:rFonts w:ascii="Times New Roman" w:hAnsi="Times New Roman" w:eastAsia="楷体_GB2312" w:cs="Times New Roman"/>
          <w:sz w:val="32"/>
          <w:szCs w:val="32"/>
          <w14:ligatures w14:val="none"/>
        </w:rPr>
        <w:t>）</w:t>
      </w:r>
      <w:r>
        <w:rPr>
          <w:rFonts w:hint="eastAsia" w:ascii="Times New Roman" w:hAnsi="Times New Roman" w:eastAsia="楷体_GB2312" w:cs="Times New Roman"/>
          <w:sz w:val="32"/>
          <w:szCs w:val="32"/>
          <w14:ligatures w14:val="none"/>
        </w:rPr>
        <w:t>聚焦耐药结核防治，提升精准应对能力</w:t>
      </w:r>
    </w:p>
    <w:p w14:paraId="3CC89FBD">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w:t>
      </w:r>
      <w:r>
        <w:rPr>
          <w:rFonts w:hint="eastAsia"/>
        </w:rPr>
        <w:t xml:space="preserve"> </w:t>
      </w:r>
      <w:r>
        <w:rPr>
          <w:rFonts w:hint="eastAsia" w:ascii="Times New Roman" w:hAnsi="Times New Roman" w:eastAsia="仿宋_GB2312" w:cs="Times New Roman"/>
          <w:sz w:val="32"/>
          <w:szCs w:val="32"/>
        </w:rPr>
        <w:t>完善耐药筛查</w:t>
      </w:r>
      <w:r>
        <w:rPr>
          <w:rFonts w:hint="eastAsia" w:ascii="Times New Roman" w:hAnsi="Times New Roman" w:eastAsia="仿宋_GB2312" w:cs="Times New Roman"/>
          <w:sz w:val="32"/>
          <w:szCs w:val="32"/>
          <w:lang w:eastAsia="zh-CN"/>
        </w:rPr>
        <w:t>机制</w:t>
      </w:r>
      <w:r>
        <w:rPr>
          <w:rFonts w:ascii="Times New Roman" w:hAnsi="Times New Roman" w:eastAsia="仿宋_GB2312" w:cs="Times New Roman"/>
          <w:sz w:val="32"/>
          <w:szCs w:val="32"/>
        </w:rPr>
        <w:t>。市区两级结核病定点医疗机构开展分子生物学耐药检测和痰结核分枝杆菌培养，阳性菌株按市级结核参比实验室要求开展耐药监测。市级结核病定点医疗机构开展菌型鉴定和表型药敏试验，逐步推行二线抗结核药品分子生物学耐药检测。市级结核参比实验室开展各级结核病定点医疗机构实验室质量控制及技术指导。</w:t>
      </w:r>
    </w:p>
    <w:p w14:paraId="20CE04CA">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w:t>
      </w:r>
      <w:r>
        <w:rPr>
          <w:rFonts w:hint="eastAsia"/>
        </w:rPr>
        <w:t xml:space="preserve"> </w:t>
      </w:r>
      <w:r>
        <w:rPr>
          <w:rFonts w:hint="eastAsia" w:ascii="Times New Roman" w:hAnsi="Times New Roman" w:eastAsia="仿宋_GB2312" w:cs="Times New Roman"/>
          <w:sz w:val="32"/>
          <w:szCs w:val="32"/>
        </w:rPr>
        <w:t>规范耐药治疗管理</w:t>
      </w:r>
      <w:r>
        <w:rPr>
          <w:rFonts w:ascii="Times New Roman" w:hAnsi="Times New Roman" w:eastAsia="仿宋_GB2312" w:cs="Times New Roman"/>
          <w:sz w:val="32"/>
          <w:szCs w:val="32"/>
        </w:rPr>
        <w:t>。市级定点医疗机构对利福平耐药患者统一收治，落实耐药结核病诊疗专家组会诊制度，规范、合理制定治疗方案，推行短程口服治疗方案。强化利福平耐药患者传染期规范隔离和分类治疗，减少传播。</w:t>
      </w:r>
    </w:p>
    <w:p w14:paraId="5E9C0549">
      <w:pPr>
        <w:spacing w:line="560" w:lineRule="exact"/>
        <w:ind w:firstLine="640" w:firstLineChars="200"/>
        <w:rPr>
          <w:rFonts w:ascii="Times New Roman" w:hAnsi="Times New Roman" w:eastAsia="楷体_GB2312" w:cs="Times New Roman"/>
          <w:sz w:val="32"/>
          <w:szCs w:val="32"/>
          <w14:ligatures w14:val="none"/>
        </w:rPr>
      </w:pPr>
      <w:r>
        <w:rPr>
          <w:rFonts w:ascii="Times New Roman" w:hAnsi="Times New Roman" w:eastAsia="楷体_GB2312" w:cs="Times New Roman"/>
          <w:sz w:val="32"/>
          <w:szCs w:val="32"/>
          <w14:ligatures w14:val="none"/>
        </w:rPr>
        <w:t>（</w:t>
      </w:r>
      <w:r>
        <w:rPr>
          <w:rFonts w:hint="eastAsia" w:ascii="Times New Roman" w:hAnsi="Times New Roman" w:eastAsia="楷体_GB2312" w:cs="Times New Roman"/>
          <w:sz w:val="32"/>
          <w:szCs w:val="32"/>
          <w:lang w:eastAsia="zh-CN"/>
          <w14:ligatures w14:val="none"/>
        </w:rPr>
        <w:t>五</w:t>
      </w:r>
      <w:r>
        <w:rPr>
          <w:rFonts w:ascii="Times New Roman" w:hAnsi="Times New Roman" w:eastAsia="楷体_GB2312" w:cs="Times New Roman"/>
          <w:sz w:val="32"/>
          <w:szCs w:val="32"/>
          <w14:ligatures w14:val="none"/>
        </w:rPr>
        <w:t>）</w:t>
      </w:r>
      <w:r>
        <w:rPr>
          <w:rFonts w:hint="eastAsia" w:ascii="Times New Roman" w:hAnsi="Times New Roman" w:eastAsia="楷体_GB2312" w:cs="Times New Roman"/>
          <w:sz w:val="32"/>
          <w:szCs w:val="32"/>
          <w14:ligatures w14:val="none"/>
        </w:rPr>
        <w:t>强化预防干预举措，降低疫情传播风险</w:t>
      </w:r>
    </w:p>
    <w:p w14:paraId="7936A1E6">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14</w:t>
      </w:r>
      <w:r>
        <w:rPr>
          <w:rFonts w:ascii="Times New Roman" w:hAnsi="Times New Roman" w:eastAsia="仿宋_GB2312" w:cs="Times New Roman"/>
          <w:sz w:val="32"/>
          <w:szCs w:val="32"/>
        </w:rPr>
        <w:t>.</w:t>
      </w:r>
      <w:r>
        <w:rPr>
          <w:rFonts w:hint="eastAsia"/>
        </w:rPr>
        <w:t xml:space="preserve"> </w:t>
      </w:r>
      <w:r>
        <w:rPr>
          <w:rFonts w:hint="eastAsia" w:ascii="Times New Roman" w:hAnsi="Times New Roman" w:eastAsia="仿宋_GB2312" w:cs="Times New Roman"/>
          <w:sz w:val="32"/>
          <w:szCs w:val="32"/>
        </w:rPr>
        <w:t>落实卡介苗规范接种</w:t>
      </w:r>
      <w:r>
        <w:rPr>
          <w:rFonts w:ascii="Times New Roman" w:hAnsi="Times New Roman" w:eastAsia="仿宋_GB2312" w:cs="Times New Roman"/>
          <w:sz w:val="32"/>
          <w:szCs w:val="32"/>
        </w:rPr>
        <w:t>。为适龄儿童提供卡介苗接种服务，确保接种覆盖率。加强对接种质量的监管，确保疫苗接种的安全性和有效性。</w:t>
      </w:r>
    </w:p>
    <w:p w14:paraId="26E53677">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15</w:t>
      </w:r>
      <w:r>
        <w:rPr>
          <w:rFonts w:ascii="Times New Roman" w:hAnsi="Times New Roman" w:eastAsia="仿宋_GB2312" w:cs="Times New Roman"/>
          <w:sz w:val="32"/>
          <w:szCs w:val="32"/>
        </w:rPr>
        <w:t>.</w:t>
      </w:r>
      <w:r>
        <w:rPr>
          <w:rFonts w:hint="eastAsia"/>
        </w:rPr>
        <w:t xml:space="preserve"> </w:t>
      </w:r>
      <w:r>
        <w:rPr>
          <w:rFonts w:hint="eastAsia" w:ascii="Times New Roman" w:hAnsi="Times New Roman" w:eastAsia="仿宋_GB2312" w:cs="Times New Roman"/>
          <w:sz w:val="32"/>
          <w:szCs w:val="32"/>
        </w:rPr>
        <w:t>严格感染控制管理</w:t>
      </w:r>
      <w:r>
        <w:rPr>
          <w:rFonts w:ascii="Times New Roman" w:hAnsi="Times New Roman" w:eastAsia="仿宋_GB2312" w:cs="Times New Roman"/>
          <w:sz w:val="32"/>
          <w:szCs w:val="32"/>
        </w:rPr>
        <w:t>。明确定点医疗机构医务人员和患者的感染控制要求，门诊和病房分区诊治利福平敏感和耐药肺结核患者。规范实施传染性肺结核患者停工停课和复工复课制度。履行督导服药的医务人员要对居家治疗的肺结核患者进行家庭环境感染风险评估，指导患者及家属做好家庭内感染控制。强化个人防护，教育引导科学佩戴口罩等。</w:t>
      </w:r>
    </w:p>
    <w:p w14:paraId="69C7F14F">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6</w:t>
      </w:r>
      <w:r>
        <w:rPr>
          <w:rFonts w:ascii="Times New Roman" w:hAnsi="Times New Roman" w:eastAsia="仿宋_GB2312" w:cs="Times New Roman"/>
          <w:sz w:val="32"/>
          <w:szCs w:val="32"/>
        </w:rPr>
        <w:t>.</w:t>
      </w:r>
      <w:r>
        <w:rPr>
          <w:rFonts w:hint="eastAsia"/>
        </w:rPr>
        <w:t xml:space="preserve"> </w:t>
      </w:r>
      <w:r>
        <w:rPr>
          <w:rFonts w:hint="eastAsia" w:ascii="Times New Roman" w:hAnsi="Times New Roman" w:eastAsia="仿宋_GB2312" w:cs="Times New Roman"/>
          <w:sz w:val="32"/>
          <w:szCs w:val="32"/>
        </w:rPr>
        <w:t>推进潜伏感染干预</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在</w:t>
      </w:r>
      <w:r>
        <w:rPr>
          <w:rFonts w:ascii="Times New Roman" w:hAnsi="Times New Roman" w:eastAsia="仿宋_GB2312" w:cs="Times New Roman"/>
          <w:sz w:val="32"/>
          <w:szCs w:val="32"/>
        </w:rPr>
        <w:t>市区两级结核病定点医疗机构开设预防性治疗门诊，</w:t>
      </w:r>
      <w:r>
        <w:rPr>
          <w:rFonts w:hint="eastAsia" w:ascii="Times New Roman" w:hAnsi="Times New Roman" w:eastAsia="仿宋_GB2312" w:cs="Times New Roman"/>
          <w:sz w:val="32"/>
          <w:szCs w:val="32"/>
        </w:rPr>
        <w:t>通过</w:t>
      </w:r>
      <w:r>
        <w:rPr>
          <w:rFonts w:ascii="Times New Roman" w:hAnsi="Times New Roman" w:eastAsia="仿宋_GB2312" w:cs="Times New Roman"/>
          <w:sz w:val="32"/>
          <w:szCs w:val="32"/>
        </w:rPr>
        <w:t>开展结核潜伏感染检测，动员潜伏感染者开展预防性治疗，并及时向属地疾控、基层医疗卫生机构反馈诊疗、随访信息。基层医疗卫生机构落实辖区内预防性治疗者督导服药管理。</w:t>
      </w:r>
    </w:p>
    <w:p w14:paraId="7C35FFCE">
      <w:pPr>
        <w:spacing w:line="560" w:lineRule="exact"/>
        <w:ind w:firstLine="640" w:firstLineChars="200"/>
        <w:rPr>
          <w:rFonts w:ascii="Times New Roman" w:hAnsi="Times New Roman" w:eastAsia="楷体_GB2312" w:cs="Times New Roman"/>
          <w:sz w:val="32"/>
          <w:szCs w:val="32"/>
          <w14:ligatures w14:val="none"/>
        </w:rPr>
      </w:pPr>
      <w:r>
        <w:rPr>
          <w:rFonts w:ascii="Times New Roman" w:hAnsi="Times New Roman" w:eastAsia="楷体_GB2312" w:cs="Times New Roman"/>
          <w:sz w:val="32"/>
          <w:szCs w:val="32"/>
          <w14:ligatures w14:val="none"/>
        </w:rPr>
        <w:t>（六）</w:t>
      </w:r>
      <w:r>
        <w:rPr>
          <w:rFonts w:hint="eastAsia" w:ascii="Times New Roman" w:hAnsi="Times New Roman" w:eastAsia="楷体_GB2312" w:cs="Times New Roman"/>
          <w:sz w:val="32"/>
          <w:szCs w:val="32"/>
          <w14:ligatures w14:val="none"/>
        </w:rPr>
        <w:t>加强患者关怀救助，减轻疾病负担</w:t>
      </w:r>
    </w:p>
    <w:p w14:paraId="0AEE0880">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17</w:t>
      </w:r>
      <w:r>
        <w:rPr>
          <w:rFonts w:ascii="Times New Roman" w:hAnsi="Times New Roman" w:eastAsia="仿宋_GB2312" w:cs="Times New Roman"/>
          <w:sz w:val="32"/>
          <w:szCs w:val="32"/>
        </w:rPr>
        <w:t>.</w:t>
      </w:r>
      <w:r>
        <w:rPr>
          <w:rFonts w:hint="eastAsia"/>
        </w:rPr>
        <w:t xml:space="preserve"> </w:t>
      </w:r>
      <w:r>
        <w:rPr>
          <w:rFonts w:hint="eastAsia" w:ascii="Times New Roman" w:hAnsi="Times New Roman" w:eastAsia="仿宋_GB2312" w:cs="Times New Roman"/>
          <w:sz w:val="32"/>
          <w:szCs w:val="32"/>
        </w:rPr>
        <w:t>降低</w:t>
      </w:r>
      <w:r>
        <w:rPr>
          <w:rFonts w:hint="eastAsia" w:ascii="Times New Roman" w:hAnsi="Times New Roman" w:eastAsia="仿宋_GB2312" w:cs="Times New Roman"/>
          <w:sz w:val="32"/>
          <w:szCs w:val="32"/>
          <w:lang w:eastAsia="zh-CN"/>
        </w:rPr>
        <w:t>患者经济负担</w:t>
      </w:r>
      <w:r>
        <w:rPr>
          <w:rFonts w:ascii="Times New Roman" w:hAnsi="Times New Roman" w:eastAsia="仿宋_GB2312" w:cs="Times New Roman"/>
          <w:sz w:val="32"/>
          <w:szCs w:val="32"/>
        </w:rPr>
        <w:t>。按规定将符合条件的药品纳入基本医疗保险支付范围。适时调整基本医疗保险门诊、住院特殊病种支付限额，对治疗、预防结核病的药物不纳入药占比范畴。通过落实国家医保药品谈判结果和推动集采工作，引导抗结核药品价格保持在合理水平。</w:t>
      </w:r>
    </w:p>
    <w:p w14:paraId="50866B9E">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18</w:t>
      </w:r>
      <w:r>
        <w:rPr>
          <w:rFonts w:ascii="Times New Roman" w:hAnsi="Times New Roman" w:eastAsia="仿宋_GB2312" w:cs="Times New Roman"/>
          <w:sz w:val="32"/>
          <w:szCs w:val="32"/>
        </w:rPr>
        <w:t>.</w:t>
      </w:r>
      <w:r>
        <w:rPr>
          <w:rFonts w:hint="eastAsia"/>
        </w:rPr>
        <w:t xml:space="preserve"> </w:t>
      </w:r>
      <w:r>
        <w:rPr>
          <w:rFonts w:hint="eastAsia" w:ascii="Times New Roman" w:hAnsi="Times New Roman" w:eastAsia="仿宋_GB2312" w:cs="Times New Roman"/>
          <w:sz w:val="32"/>
          <w:szCs w:val="32"/>
        </w:rPr>
        <w:t>强化综合关怀服务</w:t>
      </w:r>
      <w:r>
        <w:rPr>
          <w:rFonts w:ascii="Times New Roman" w:hAnsi="Times New Roman" w:eastAsia="仿宋_GB2312" w:cs="Times New Roman"/>
          <w:sz w:val="32"/>
          <w:szCs w:val="32"/>
        </w:rPr>
        <w:t>。坚持全社会动员，为患者提供必要的心理和营养支持等社会关爱服务。为符合条件的结核病患者提供就医、交通、营养等救助，切实降低患者的疾病经济负担。</w:t>
      </w:r>
    </w:p>
    <w:p w14:paraId="713B96DD">
      <w:pPr>
        <w:spacing w:line="560" w:lineRule="exact"/>
        <w:ind w:firstLine="640" w:firstLineChars="200"/>
        <w:rPr>
          <w:rFonts w:ascii="Times New Roman" w:hAnsi="Times New Roman" w:eastAsia="楷体_GB2312" w:cs="Times New Roman"/>
          <w:sz w:val="32"/>
          <w:szCs w:val="32"/>
          <w14:ligatures w14:val="none"/>
        </w:rPr>
      </w:pPr>
      <w:r>
        <w:rPr>
          <w:rFonts w:ascii="Times New Roman" w:hAnsi="Times New Roman" w:eastAsia="楷体_GB2312" w:cs="Times New Roman"/>
          <w:sz w:val="32"/>
          <w:szCs w:val="32"/>
          <w14:ligatures w14:val="none"/>
        </w:rPr>
        <w:t>（七）</w:t>
      </w:r>
      <w:r>
        <w:rPr>
          <w:rFonts w:hint="eastAsia" w:ascii="Times New Roman" w:hAnsi="Times New Roman" w:eastAsia="楷体_GB2312" w:cs="Times New Roman"/>
          <w:sz w:val="32"/>
          <w:szCs w:val="32"/>
          <w14:ligatures w14:val="none"/>
        </w:rPr>
        <w:t>深化社会宣传动员，营造共治良好氛围</w:t>
      </w:r>
    </w:p>
    <w:p w14:paraId="0756FBD6">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19</w:t>
      </w:r>
      <w:r>
        <w:rPr>
          <w:rFonts w:ascii="Times New Roman" w:hAnsi="Times New Roman" w:eastAsia="仿宋_GB2312" w:cs="Times New Roman"/>
          <w:sz w:val="32"/>
          <w:szCs w:val="32"/>
        </w:rPr>
        <w:t>.</w:t>
      </w:r>
      <w:r>
        <w:rPr>
          <w:rFonts w:hint="eastAsia"/>
        </w:rPr>
        <w:t xml:space="preserve"> </w:t>
      </w:r>
      <w:r>
        <w:rPr>
          <w:rFonts w:hint="eastAsia" w:ascii="Times New Roman" w:hAnsi="Times New Roman" w:eastAsia="仿宋_GB2312" w:cs="Times New Roman"/>
          <w:sz w:val="32"/>
          <w:szCs w:val="32"/>
        </w:rPr>
        <w:t>扩大宣传覆盖</w:t>
      </w:r>
      <w:r>
        <w:rPr>
          <w:rFonts w:ascii="Times New Roman" w:hAnsi="Times New Roman" w:eastAsia="仿宋_GB2312" w:cs="Times New Roman"/>
          <w:sz w:val="32"/>
          <w:szCs w:val="32"/>
        </w:rPr>
        <w:t>。充分发挥广播、电视等传统媒体和网络社交媒体的传播优势, 加大结核病防治公益宣传力度。推广“N24”宣传策略，每月覆盖不同活动主题和目标人群，提高重点人群、重点场所结核病防治知识宣传效果。</w:t>
      </w:r>
    </w:p>
    <w:p w14:paraId="7CB80753">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20</w:t>
      </w:r>
      <w:r>
        <w:rPr>
          <w:rFonts w:ascii="Times New Roman" w:hAnsi="Times New Roman" w:eastAsia="仿宋_GB2312" w:cs="Times New Roman"/>
          <w:sz w:val="32"/>
          <w:szCs w:val="32"/>
        </w:rPr>
        <w:t>.</w:t>
      </w:r>
      <w:r>
        <w:rPr>
          <w:rFonts w:hint="eastAsia"/>
        </w:rPr>
        <w:t xml:space="preserve"> </w:t>
      </w:r>
      <w:r>
        <w:rPr>
          <w:rFonts w:hint="eastAsia" w:ascii="Times New Roman" w:hAnsi="Times New Roman" w:eastAsia="仿宋_GB2312" w:cs="Times New Roman"/>
          <w:sz w:val="32"/>
          <w:szCs w:val="32"/>
          <w:lang w:eastAsia="zh-CN"/>
        </w:rPr>
        <w:t>广泛社会动员</w:t>
      </w:r>
      <w:r>
        <w:rPr>
          <w:rFonts w:ascii="Times New Roman" w:hAnsi="Times New Roman" w:eastAsia="仿宋_GB2312" w:cs="Times New Roman"/>
          <w:sz w:val="32"/>
          <w:szCs w:val="32"/>
        </w:rPr>
        <w:t>。积极拓展多部门社会动员，营造全社会关注、支持和参与结核病防治的良好氛围。将每年世界防治结核病日主题宣传与常态化宣传有机结合，开展对象化、分众化、互动化的健康教育活动</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形成全社会普遍主动参与的宣传格局。</w:t>
      </w:r>
    </w:p>
    <w:p w14:paraId="2F9EFB65">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21</w:t>
      </w:r>
      <w:r>
        <w:rPr>
          <w:rFonts w:ascii="Times New Roman" w:hAnsi="Times New Roman" w:eastAsia="仿宋_GB2312" w:cs="Times New Roman"/>
          <w:sz w:val="32"/>
          <w:szCs w:val="32"/>
        </w:rPr>
        <w:t>.</w:t>
      </w:r>
      <w:r>
        <w:rPr>
          <w:rFonts w:hint="eastAsia"/>
        </w:rPr>
        <w:t xml:space="preserve"> </w:t>
      </w:r>
      <w:r>
        <w:rPr>
          <w:rFonts w:hint="eastAsia" w:ascii="Times New Roman" w:hAnsi="Times New Roman" w:eastAsia="仿宋_GB2312" w:cs="Times New Roman"/>
          <w:sz w:val="32"/>
          <w:szCs w:val="32"/>
        </w:rPr>
        <w:t>推进志愿服务行动</w:t>
      </w:r>
      <w:r>
        <w:rPr>
          <w:rFonts w:ascii="Times New Roman" w:hAnsi="Times New Roman" w:eastAsia="仿宋_GB2312" w:cs="Times New Roman"/>
          <w:sz w:val="32"/>
          <w:szCs w:val="32"/>
        </w:rPr>
        <w:t>。深入推进百千万志愿者结核病防治知识传播提升行动，发展壮大志愿队伍，强化公众“健康第一责任人”的理念，提升全民结核病防治健康素养。</w:t>
      </w:r>
      <w:bookmarkEnd w:id="2"/>
    </w:p>
    <w:p w14:paraId="6C101BE5">
      <w:pPr>
        <w:pStyle w:val="12"/>
        <w:widowControl/>
        <w:shd w:val="clear" w:color="auto" w:fill="FFFFFF"/>
        <w:spacing w:beforeAutospacing="0" w:afterAutospacing="0" w:line="560" w:lineRule="exact"/>
        <w:ind w:firstLine="640" w:firstLineChars="200"/>
        <w:rPr>
          <w:rFonts w:ascii="Times New Roman" w:hAnsi="Times New Roman" w:eastAsia="黑体"/>
          <w:sz w:val="32"/>
          <w:szCs w:val="32"/>
        </w:rPr>
      </w:pPr>
      <w:r>
        <w:rPr>
          <w:rFonts w:ascii="Times New Roman" w:hAnsi="Times New Roman" w:eastAsia="黑体"/>
          <w:sz w:val="32"/>
          <w:szCs w:val="32"/>
        </w:rPr>
        <w:t>三、保障与评估</w:t>
      </w:r>
    </w:p>
    <w:p w14:paraId="343E0E87">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各区要将结核病防治工作纳入当地经济社会发展规划和政府工作的重要内容。疾控、卫生健康部门负责协调相关部门共同推动规划实施，优化完善防治体系，提高防治能力和服务，对结核病防治工作进行监管，对规划实施情况开展监测。发展改革部门负责支持纳入相关规划的结核病防治机构建设，改善结核病防治设施条件。教育部门依法落实学校结核病防控的行业管理责任，有效落实新生入学体检结核病筛查和教职员工入职（定期）结核病检查和健康教育等措施。公安、司法行政部门负责监狱、看守所、强制隔离戒毒所等场所的结核病防治工作，落实结核病检查和治疗管理措施。财政部门按规定落实防治相关投入政策，推动提高资金使用效益。医保部门负责完善医保政策，做好结核病患者医疗保障工作。药监部门负责加强对抗结核药品的审批和质量监督，支持抗结核新药品、新试剂和新疫苗的注册，对符合条件的产品实施优先审评审批。科技、工业和信息化、民政、海关、农业农村、广电等部门要在职责范围内，做好结核病防治科技支撑、抗结核药品试剂生产供应保障、患者社会救助、社会养老和福利机构结核病防治、口岸结核病排查处置、结核病防治知识宣传等工作。发生结核病疫情时，根据疫情防控需要，各有关单位和个人提供相应支持。</w:t>
      </w:r>
    </w:p>
    <w:p w14:paraId="42933656">
      <w:pPr>
        <w:spacing w:line="560" w:lineRule="exact"/>
        <w:ind w:firstLine="640" w:firstLineChars="200"/>
        <w:rPr>
          <w:rFonts w:ascii="Times New Roman" w:hAnsi="Times New Roman" w:cs="Times New Roman"/>
        </w:rPr>
      </w:pPr>
      <w:r>
        <w:rPr>
          <w:rFonts w:ascii="Times New Roman" w:hAnsi="Times New Roman" w:eastAsia="仿宋_GB2312" w:cs="Times New Roman"/>
          <w:sz w:val="32"/>
          <w:szCs w:val="32"/>
        </w:rPr>
        <w:t>各区要组织对本区结核病防治规划</w:t>
      </w:r>
      <w:r>
        <w:rPr>
          <w:rFonts w:hint="eastAsia" w:ascii="Times New Roman" w:hAnsi="Times New Roman" w:eastAsia="仿宋_GB2312" w:cs="Times New Roman"/>
          <w:sz w:val="32"/>
          <w:szCs w:val="32"/>
        </w:rPr>
        <w:t>落实</w:t>
      </w:r>
      <w:r>
        <w:rPr>
          <w:rFonts w:ascii="Times New Roman" w:hAnsi="Times New Roman" w:eastAsia="仿宋_GB2312" w:cs="Times New Roman"/>
          <w:sz w:val="32"/>
          <w:szCs w:val="32"/>
        </w:rPr>
        <w:t>情况</w:t>
      </w:r>
      <w:r>
        <w:rPr>
          <w:rFonts w:hint="eastAsia" w:ascii="Times New Roman" w:hAnsi="Times New Roman" w:eastAsia="仿宋_GB2312" w:cs="Times New Roman"/>
          <w:sz w:val="32"/>
          <w:szCs w:val="32"/>
        </w:rPr>
        <w:t>开展</w:t>
      </w:r>
      <w:r>
        <w:rPr>
          <w:rFonts w:ascii="Times New Roman" w:hAnsi="Times New Roman" w:eastAsia="仿宋_GB2312" w:cs="Times New Roman"/>
          <w:sz w:val="32"/>
          <w:szCs w:val="32"/>
        </w:rPr>
        <w:t>监测与</w:t>
      </w:r>
      <w:r>
        <w:rPr>
          <w:rFonts w:hint="eastAsia" w:ascii="Times New Roman" w:hAnsi="Times New Roman" w:eastAsia="仿宋_GB2312" w:cs="Times New Roman"/>
          <w:sz w:val="32"/>
          <w:szCs w:val="32"/>
        </w:rPr>
        <w:t>自评</w:t>
      </w:r>
      <w:r>
        <w:rPr>
          <w:rFonts w:ascii="Times New Roman" w:hAnsi="Times New Roman" w:eastAsia="仿宋_GB2312" w:cs="Times New Roman"/>
          <w:sz w:val="32"/>
          <w:szCs w:val="32"/>
        </w:rPr>
        <w:t>，发现问题及时解决，将监测评价结果和工作改进情况作为财政投入、医保支付、医疗卫生机构评审等重要依据。市疾控局要会同有关部门对规划</w:t>
      </w:r>
      <w:r>
        <w:rPr>
          <w:rFonts w:hint="eastAsia" w:ascii="Times New Roman" w:hAnsi="Times New Roman" w:eastAsia="仿宋_GB2312" w:cs="Times New Roman"/>
          <w:sz w:val="32"/>
          <w:szCs w:val="32"/>
        </w:rPr>
        <w:t>落实</w:t>
      </w:r>
      <w:r>
        <w:rPr>
          <w:rFonts w:ascii="Times New Roman" w:hAnsi="Times New Roman" w:eastAsia="仿宋_GB2312" w:cs="Times New Roman"/>
          <w:sz w:val="32"/>
          <w:szCs w:val="32"/>
        </w:rPr>
        <w:t>情况开展</w:t>
      </w:r>
      <w:r>
        <w:rPr>
          <w:rFonts w:hint="eastAsia" w:ascii="Times New Roman" w:hAnsi="Times New Roman" w:eastAsia="仿宋_GB2312" w:cs="Times New Roman"/>
          <w:sz w:val="32"/>
          <w:szCs w:val="32"/>
        </w:rPr>
        <w:t>指导推动</w:t>
      </w:r>
      <w:r>
        <w:rPr>
          <w:rFonts w:ascii="Times New Roman" w:hAnsi="Times New Roman" w:eastAsia="仿宋_GB2312" w:cs="Times New Roman"/>
          <w:sz w:val="32"/>
          <w:szCs w:val="32"/>
        </w:rPr>
        <w:t>，并</w:t>
      </w:r>
      <w:r>
        <w:rPr>
          <w:rFonts w:hint="eastAsia" w:ascii="Times New Roman" w:hAnsi="Times New Roman" w:eastAsia="仿宋_GB2312" w:cs="Times New Roman"/>
          <w:sz w:val="32"/>
          <w:szCs w:val="32"/>
        </w:rPr>
        <w:t>按照国家总体安排</w:t>
      </w:r>
      <w:r>
        <w:rPr>
          <w:rFonts w:ascii="Times New Roman" w:hAnsi="Times New Roman" w:eastAsia="仿宋_GB2312" w:cs="Times New Roman"/>
          <w:sz w:val="32"/>
          <w:szCs w:val="32"/>
        </w:rPr>
        <w:t>进行阶段性评估和终期评估。</w:t>
      </w:r>
    </w:p>
    <w:p w14:paraId="3593DB4E">
      <w:pPr>
        <w:pStyle w:val="2"/>
        <w:rPr>
          <w:rFonts w:ascii="Times New Roman" w:hAnsi="Times New Roman" w:cs="Times New Roman"/>
        </w:rPr>
      </w:pP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等线">
    <w:altName w:val="宋体"/>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文星仿宋">
    <w:altName w:val="方正仿宋_GBK"/>
    <w:panose1 w:val="00000000000000000000"/>
    <w:charset w:val="00"/>
    <w:family w:val="auto"/>
    <w:pitch w:val="default"/>
    <w:sig w:usb0="00000000" w:usb1="00000000" w:usb2="00000010"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等线">
    <w:altName w:val="Noto Sans CJK SC"/>
    <w:panose1 w:val="00000000000000000000"/>
    <w:charset w:val="00"/>
    <w:family w:val="auto"/>
    <w:pitch w:val="default"/>
    <w:sig w:usb0="00000000" w:usb1="00000000" w:usb2="00000000" w:usb3="00000000" w:csb0="00000000" w:csb1="00000000"/>
  </w:font>
  <w:font w:name="Noto Sans CJK SC">
    <w:panose1 w:val="020B0500000000000000"/>
    <w:charset w:val="86"/>
    <w:family w:val="auto"/>
    <w:pitch w:val="default"/>
    <w:sig w:usb0="3000008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1800B5">
    <w:pPr>
      <w:pStyle w:val="10"/>
      <w:jc w:val="right"/>
      <w:rPr>
        <w:rFonts w:hint="eastAsia"/>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1AF97A">
                          <w:pPr>
                            <w:pStyle w:val="10"/>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71AF97A">
                    <w:pPr>
                      <w:pStyle w:val="10"/>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14:paraId="289A4D60">
    <w:pPr>
      <w:pStyle w:val="10"/>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22AF"/>
    <w:rsid w:val="000000B2"/>
    <w:rsid w:val="000000DA"/>
    <w:rsid w:val="0000011F"/>
    <w:rsid w:val="00001EFD"/>
    <w:rsid w:val="0000697B"/>
    <w:rsid w:val="000109A0"/>
    <w:rsid w:val="00011D8D"/>
    <w:rsid w:val="00016E4B"/>
    <w:rsid w:val="000205D3"/>
    <w:rsid w:val="00022009"/>
    <w:rsid w:val="0002231E"/>
    <w:rsid w:val="000238F2"/>
    <w:rsid w:val="00023F68"/>
    <w:rsid w:val="00025EC6"/>
    <w:rsid w:val="0002623C"/>
    <w:rsid w:val="000272BA"/>
    <w:rsid w:val="000309E0"/>
    <w:rsid w:val="000321CA"/>
    <w:rsid w:val="00032762"/>
    <w:rsid w:val="000354CD"/>
    <w:rsid w:val="0003610F"/>
    <w:rsid w:val="00036D8E"/>
    <w:rsid w:val="00040850"/>
    <w:rsid w:val="000461B5"/>
    <w:rsid w:val="0004716F"/>
    <w:rsid w:val="00051986"/>
    <w:rsid w:val="00052DA2"/>
    <w:rsid w:val="000644A3"/>
    <w:rsid w:val="00064B02"/>
    <w:rsid w:val="000741B9"/>
    <w:rsid w:val="0008464A"/>
    <w:rsid w:val="00084E46"/>
    <w:rsid w:val="000852F9"/>
    <w:rsid w:val="0008649A"/>
    <w:rsid w:val="000871FE"/>
    <w:rsid w:val="00095953"/>
    <w:rsid w:val="00096984"/>
    <w:rsid w:val="00096C2D"/>
    <w:rsid w:val="000A36C8"/>
    <w:rsid w:val="000B06E0"/>
    <w:rsid w:val="000B0B1D"/>
    <w:rsid w:val="000B0E86"/>
    <w:rsid w:val="000B130B"/>
    <w:rsid w:val="000B1C98"/>
    <w:rsid w:val="000B3D64"/>
    <w:rsid w:val="000B44D7"/>
    <w:rsid w:val="000B4740"/>
    <w:rsid w:val="000B5718"/>
    <w:rsid w:val="000B649E"/>
    <w:rsid w:val="000B71FD"/>
    <w:rsid w:val="000C0182"/>
    <w:rsid w:val="000C2E93"/>
    <w:rsid w:val="000D0B55"/>
    <w:rsid w:val="000D22AF"/>
    <w:rsid w:val="000D731E"/>
    <w:rsid w:val="000D77AA"/>
    <w:rsid w:val="000E1CC9"/>
    <w:rsid w:val="000F191A"/>
    <w:rsid w:val="000F19CF"/>
    <w:rsid w:val="000F3710"/>
    <w:rsid w:val="000F710D"/>
    <w:rsid w:val="001018B8"/>
    <w:rsid w:val="00101CF2"/>
    <w:rsid w:val="0010229F"/>
    <w:rsid w:val="0010435B"/>
    <w:rsid w:val="001072F1"/>
    <w:rsid w:val="00107B5A"/>
    <w:rsid w:val="00112C3B"/>
    <w:rsid w:val="00123721"/>
    <w:rsid w:val="00124265"/>
    <w:rsid w:val="00126E59"/>
    <w:rsid w:val="00127D3B"/>
    <w:rsid w:val="00133619"/>
    <w:rsid w:val="00134DD4"/>
    <w:rsid w:val="00140F6D"/>
    <w:rsid w:val="0014410E"/>
    <w:rsid w:val="00145B6A"/>
    <w:rsid w:val="0015078C"/>
    <w:rsid w:val="00153F06"/>
    <w:rsid w:val="0015751B"/>
    <w:rsid w:val="00157D1F"/>
    <w:rsid w:val="001616FF"/>
    <w:rsid w:val="00161E60"/>
    <w:rsid w:val="00164238"/>
    <w:rsid w:val="00166E48"/>
    <w:rsid w:val="0017317D"/>
    <w:rsid w:val="00173A7D"/>
    <w:rsid w:val="001742F8"/>
    <w:rsid w:val="00174C29"/>
    <w:rsid w:val="00192675"/>
    <w:rsid w:val="001A76E7"/>
    <w:rsid w:val="001B1749"/>
    <w:rsid w:val="001B276F"/>
    <w:rsid w:val="001B29CD"/>
    <w:rsid w:val="001B2A6D"/>
    <w:rsid w:val="001B2AC2"/>
    <w:rsid w:val="001B4BE4"/>
    <w:rsid w:val="001B6AF4"/>
    <w:rsid w:val="001C0364"/>
    <w:rsid w:val="001C556D"/>
    <w:rsid w:val="001C782D"/>
    <w:rsid w:val="001D03E0"/>
    <w:rsid w:val="001E1849"/>
    <w:rsid w:val="001E35B6"/>
    <w:rsid w:val="001E69C4"/>
    <w:rsid w:val="001F2827"/>
    <w:rsid w:val="0020029E"/>
    <w:rsid w:val="002019DC"/>
    <w:rsid w:val="00203450"/>
    <w:rsid w:val="00204410"/>
    <w:rsid w:val="00204823"/>
    <w:rsid w:val="002056DB"/>
    <w:rsid w:val="002149AD"/>
    <w:rsid w:val="00222263"/>
    <w:rsid w:val="002222BC"/>
    <w:rsid w:val="002240CD"/>
    <w:rsid w:val="002324F8"/>
    <w:rsid w:val="002370FC"/>
    <w:rsid w:val="002447AD"/>
    <w:rsid w:val="00246073"/>
    <w:rsid w:val="002473F5"/>
    <w:rsid w:val="002503F7"/>
    <w:rsid w:val="00254C50"/>
    <w:rsid w:val="00257B1B"/>
    <w:rsid w:val="002716FD"/>
    <w:rsid w:val="002730DF"/>
    <w:rsid w:val="002842E0"/>
    <w:rsid w:val="00292B36"/>
    <w:rsid w:val="002A0CD7"/>
    <w:rsid w:val="002A2B74"/>
    <w:rsid w:val="002B239A"/>
    <w:rsid w:val="002B400B"/>
    <w:rsid w:val="002C33CE"/>
    <w:rsid w:val="002D1058"/>
    <w:rsid w:val="002D1678"/>
    <w:rsid w:val="002D4BC5"/>
    <w:rsid w:val="002D74A0"/>
    <w:rsid w:val="002E3509"/>
    <w:rsid w:val="002E5DA9"/>
    <w:rsid w:val="002E60B0"/>
    <w:rsid w:val="002E7AE1"/>
    <w:rsid w:val="002F1CFC"/>
    <w:rsid w:val="002F2330"/>
    <w:rsid w:val="002F42F8"/>
    <w:rsid w:val="002F4480"/>
    <w:rsid w:val="002F6610"/>
    <w:rsid w:val="00300686"/>
    <w:rsid w:val="00304549"/>
    <w:rsid w:val="00312969"/>
    <w:rsid w:val="00313135"/>
    <w:rsid w:val="00317C33"/>
    <w:rsid w:val="00317D0C"/>
    <w:rsid w:val="0032155B"/>
    <w:rsid w:val="003242AB"/>
    <w:rsid w:val="00326035"/>
    <w:rsid w:val="00326DD9"/>
    <w:rsid w:val="0033588E"/>
    <w:rsid w:val="00336168"/>
    <w:rsid w:val="003510E8"/>
    <w:rsid w:val="0035267E"/>
    <w:rsid w:val="00352D4B"/>
    <w:rsid w:val="00353241"/>
    <w:rsid w:val="003535CB"/>
    <w:rsid w:val="00353DF6"/>
    <w:rsid w:val="0035550C"/>
    <w:rsid w:val="00355C05"/>
    <w:rsid w:val="003702BE"/>
    <w:rsid w:val="003800AE"/>
    <w:rsid w:val="00380B0D"/>
    <w:rsid w:val="00383C44"/>
    <w:rsid w:val="003870D3"/>
    <w:rsid w:val="00390733"/>
    <w:rsid w:val="00390BBD"/>
    <w:rsid w:val="00394F6E"/>
    <w:rsid w:val="0039588C"/>
    <w:rsid w:val="00395EE5"/>
    <w:rsid w:val="003B0B8B"/>
    <w:rsid w:val="003C0FEA"/>
    <w:rsid w:val="003C1B05"/>
    <w:rsid w:val="003C38C3"/>
    <w:rsid w:val="003C5EB3"/>
    <w:rsid w:val="003C6297"/>
    <w:rsid w:val="003C6D6A"/>
    <w:rsid w:val="003C78F8"/>
    <w:rsid w:val="003C7A20"/>
    <w:rsid w:val="003D0265"/>
    <w:rsid w:val="003D1A73"/>
    <w:rsid w:val="003D53E1"/>
    <w:rsid w:val="003D55D0"/>
    <w:rsid w:val="003D6394"/>
    <w:rsid w:val="003E14E6"/>
    <w:rsid w:val="003E61B9"/>
    <w:rsid w:val="003E7FF6"/>
    <w:rsid w:val="003F2FEB"/>
    <w:rsid w:val="004012EE"/>
    <w:rsid w:val="00401A21"/>
    <w:rsid w:val="00404F26"/>
    <w:rsid w:val="00410126"/>
    <w:rsid w:val="0041060D"/>
    <w:rsid w:val="00412BA1"/>
    <w:rsid w:val="00412FEE"/>
    <w:rsid w:val="00416D5E"/>
    <w:rsid w:val="004200F7"/>
    <w:rsid w:val="004210BA"/>
    <w:rsid w:val="00426AFB"/>
    <w:rsid w:val="00430B7A"/>
    <w:rsid w:val="00433329"/>
    <w:rsid w:val="00436B16"/>
    <w:rsid w:val="00451F61"/>
    <w:rsid w:val="00460282"/>
    <w:rsid w:val="00464505"/>
    <w:rsid w:val="00470314"/>
    <w:rsid w:val="00471454"/>
    <w:rsid w:val="00472227"/>
    <w:rsid w:val="00477CF8"/>
    <w:rsid w:val="00480957"/>
    <w:rsid w:val="0048247B"/>
    <w:rsid w:val="00484185"/>
    <w:rsid w:val="004841B9"/>
    <w:rsid w:val="00496DB1"/>
    <w:rsid w:val="004A38F6"/>
    <w:rsid w:val="004A3DAF"/>
    <w:rsid w:val="004A4FDB"/>
    <w:rsid w:val="004A5042"/>
    <w:rsid w:val="004B2105"/>
    <w:rsid w:val="004B27EA"/>
    <w:rsid w:val="004B7BA8"/>
    <w:rsid w:val="004B7E83"/>
    <w:rsid w:val="004C12F3"/>
    <w:rsid w:val="004C36EE"/>
    <w:rsid w:val="004C4C7A"/>
    <w:rsid w:val="004C50B5"/>
    <w:rsid w:val="004C7276"/>
    <w:rsid w:val="004C7F50"/>
    <w:rsid w:val="004D00C8"/>
    <w:rsid w:val="004D2674"/>
    <w:rsid w:val="004E0789"/>
    <w:rsid w:val="004E0D6D"/>
    <w:rsid w:val="004E7599"/>
    <w:rsid w:val="004F0A11"/>
    <w:rsid w:val="004F3E06"/>
    <w:rsid w:val="004F47B9"/>
    <w:rsid w:val="004F5917"/>
    <w:rsid w:val="00510519"/>
    <w:rsid w:val="00513BF0"/>
    <w:rsid w:val="0051425D"/>
    <w:rsid w:val="005155DF"/>
    <w:rsid w:val="00515E77"/>
    <w:rsid w:val="005166FE"/>
    <w:rsid w:val="00517DA0"/>
    <w:rsid w:val="005203E9"/>
    <w:rsid w:val="0052425E"/>
    <w:rsid w:val="00524648"/>
    <w:rsid w:val="00530663"/>
    <w:rsid w:val="005317D8"/>
    <w:rsid w:val="00531B92"/>
    <w:rsid w:val="0054070E"/>
    <w:rsid w:val="00541CC9"/>
    <w:rsid w:val="00556A0D"/>
    <w:rsid w:val="005571A9"/>
    <w:rsid w:val="005571C4"/>
    <w:rsid w:val="00557FE3"/>
    <w:rsid w:val="0056226F"/>
    <w:rsid w:val="00562570"/>
    <w:rsid w:val="00571C36"/>
    <w:rsid w:val="00572C47"/>
    <w:rsid w:val="00573925"/>
    <w:rsid w:val="00574164"/>
    <w:rsid w:val="00574FB9"/>
    <w:rsid w:val="00575742"/>
    <w:rsid w:val="0057669E"/>
    <w:rsid w:val="0057688C"/>
    <w:rsid w:val="00576972"/>
    <w:rsid w:val="00577EEF"/>
    <w:rsid w:val="0058230C"/>
    <w:rsid w:val="00591769"/>
    <w:rsid w:val="00595DE5"/>
    <w:rsid w:val="005A0659"/>
    <w:rsid w:val="005A0FDE"/>
    <w:rsid w:val="005A4E24"/>
    <w:rsid w:val="005A4F65"/>
    <w:rsid w:val="005A7278"/>
    <w:rsid w:val="005A767A"/>
    <w:rsid w:val="005A7C20"/>
    <w:rsid w:val="005B3757"/>
    <w:rsid w:val="005B5AD6"/>
    <w:rsid w:val="005C144A"/>
    <w:rsid w:val="005C45EB"/>
    <w:rsid w:val="005C7286"/>
    <w:rsid w:val="005D051C"/>
    <w:rsid w:val="005D2904"/>
    <w:rsid w:val="005D2F88"/>
    <w:rsid w:val="005D3C46"/>
    <w:rsid w:val="005D4F21"/>
    <w:rsid w:val="005E0D13"/>
    <w:rsid w:val="005E622F"/>
    <w:rsid w:val="005F16DA"/>
    <w:rsid w:val="005F2FAB"/>
    <w:rsid w:val="005F7047"/>
    <w:rsid w:val="00604DF3"/>
    <w:rsid w:val="00610228"/>
    <w:rsid w:val="00610A35"/>
    <w:rsid w:val="00612DD2"/>
    <w:rsid w:val="00617E18"/>
    <w:rsid w:val="00617EC5"/>
    <w:rsid w:val="00620CBB"/>
    <w:rsid w:val="00622A8B"/>
    <w:rsid w:val="006266EB"/>
    <w:rsid w:val="00631E11"/>
    <w:rsid w:val="006347CA"/>
    <w:rsid w:val="0063522A"/>
    <w:rsid w:val="00636EA6"/>
    <w:rsid w:val="0063730D"/>
    <w:rsid w:val="00642E62"/>
    <w:rsid w:val="006521AE"/>
    <w:rsid w:val="00652242"/>
    <w:rsid w:val="00655479"/>
    <w:rsid w:val="00660C6B"/>
    <w:rsid w:val="00674A32"/>
    <w:rsid w:val="006777BB"/>
    <w:rsid w:val="00677ECC"/>
    <w:rsid w:val="00680EB5"/>
    <w:rsid w:val="006851D2"/>
    <w:rsid w:val="00686468"/>
    <w:rsid w:val="0069139E"/>
    <w:rsid w:val="00692896"/>
    <w:rsid w:val="00694325"/>
    <w:rsid w:val="00694ABD"/>
    <w:rsid w:val="006963D5"/>
    <w:rsid w:val="00696D75"/>
    <w:rsid w:val="006A0B12"/>
    <w:rsid w:val="006A28EA"/>
    <w:rsid w:val="006A5EBC"/>
    <w:rsid w:val="006A6A84"/>
    <w:rsid w:val="006A6E04"/>
    <w:rsid w:val="006B05D7"/>
    <w:rsid w:val="006B0BA7"/>
    <w:rsid w:val="006B1C7A"/>
    <w:rsid w:val="006B2BD0"/>
    <w:rsid w:val="006B3920"/>
    <w:rsid w:val="006B5CAD"/>
    <w:rsid w:val="006B7655"/>
    <w:rsid w:val="006C4DCF"/>
    <w:rsid w:val="006C587C"/>
    <w:rsid w:val="006D0310"/>
    <w:rsid w:val="006D0E78"/>
    <w:rsid w:val="006D51D1"/>
    <w:rsid w:val="006E14C7"/>
    <w:rsid w:val="006E3C7E"/>
    <w:rsid w:val="006E4F1B"/>
    <w:rsid w:val="006F5979"/>
    <w:rsid w:val="006F694B"/>
    <w:rsid w:val="00704286"/>
    <w:rsid w:val="00710034"/>
    <w:rsid w:val="0071108E"/>
    <w:rsid w:val="0071260E"/>
    <w:rsid w:val="007136BB"/>
    <w:rsid w:val="007278AD"/>
    <w:rsid w:val="00734538"/>
    <w:rsid w:val="00736C6A"/>
    <w:rsid w:val="00737D7B"/>
    <w:rsid w:val="007419D4"/>
    <w:rsid w:val="007435A0"/>
    <w:rsid w:val="00746839"/>
    <w:rsid w:val="007473C5"/>
    <w:rsid w:val="0075082D"/>
    <w:rsid w:val="00750F70"/>
    <w:rsid w:val="00751026"/>
    <w:rsid w:val="00754885"/>
    <w:rsid w:val="0076269B"/>
    <w:rsid w:val="00762C39"/>
    <w:rsid w:val="00767F14"/>
    <w:rsid w:val="0077179A"/>
    <w:rsid w:val="007752E9"/>
    <w:rsid w:val="0078200E"/>
    <w:rsid w:val="00782AAE"/>
    <w:rsid w:val="00785FC6"/>
    <w:rsid w:val="0078608E"/>
    <w:rsid w:val="00792A19"/>
    <w:rsid w:val="00792C6A"/>
    <w:rsid w:val="00792E66"/>
    <w:rsid w:val="007957EE"/>
    <w:rsid w:val="007A0851"/>
    <w:rsid w:val="007A189C"/>
    <w:rsid w:val="007A2DBB"/>
    <w:rsid w:val="007A4391"/>
    <w:rsid w:val="007A6A93"/>
    <w:rsid w:val="007A6DEA"/>
    <w:rsid w:val="007B3830"/>
    <w:rsid w:val="007B4F72"/>
    <w:rsid w:val="007B6B7B"/>
    <w:rsid w:val="007C2B81"/>
    <w:rsid w:val="007C689F"/>
    <w:rsid w:val="007C6E56"/>
    <w:rsid w:val="007C70E6"/>
    <w:rsid w:val="007D1058"/>
    <w:rsid w:val="007D47DD"/>
    <w:rsid w:val="007E34B2"/>
    <w:rsid w:val="007E66AD"/>
    <w:rsid w:val="007F710D"/>
    <w:rsid w:val="007F7DDB"/>
    <w:rsid w:val="00800DB9"/>
    <w:rsid w:val="00800E38"/>
    <w:rsid w:val="0080243E"/>
    <w:rsid w:val="00803597"/>
    <w:rsid w:val="008048E0"/>
    <w:rsid w:val="00804E1C"/>
    <w:rsid w:val="0080694E"/>
    <w:rsid w:val="00810080"/>
    <w:rsid w:val="00811E0F"/>
    <w:rsid w:val="0081742B"/>
    <w:rsid w:val="00817943"/>
    <w:rsid w:val="00820B68"/>
    <w:rsid w:val="008240A6"/>
    <w:rsid w:val="008244B9"/>
    <w:rsid w:val="00826E50"/>
    <w:rsid w:val="00827D72"/>
    <w:rsid w:val="00830C8A"/>
    <w:rsid w:val="008321E7"/>
    <w:rsid w:val="0083369E"/>
    <w:rsid w:val="00835AD5"/>
    <w:rsid w:val="00837BBC"/>
    <w:rsid w:val="00842F1B"/>
    <w:rsid w:val="00845440"/>
    <w:rsid w:val="008532D9"/>
    <w:rsid w:val="00854223"/>
    <w:rsid w:val="008574E5"/>
    <w:rsid w:val="0086090F"/>
    <w:rsid w:val="00863687"/>
    <w:rsid w:val="008642C9"/>
    <w:rsid w:val="00864A24"/>
    <w:rsid w:val="00870AB1"/>
    <w:rsid w:val="00870C6E"/>
    <w:rsid w:val="00871ABB"/>
    <w:rsid w:val="008776BC"/>
    <w:rsid w:val="008778FA"/>
    <w:rsid w:val="00880023"/>
    <w:rsid w:val="008802C4"/>
    <w:rsid w:val="008802EC"/>
    <w:rsid w:val="00884B62"/>
    <w:rsid w:val="00894D83"/>
    <w:rsid w:val="00894E79"/>
    <w:rsid w:val="00897F41"/>
    <w:rsid w:val="008A5ADB"/>
    <w:rsid w:val="008A5AE6"/>
    <w:rsid w:val="008A5E25"/>
    <w:rsid w:val="008A7108"/>
    <w:rsid w:val="008A7949"/>
    <w:rsid w:val="008B0A00"/>
    <w:rsid w:val="008B156E"/>
    <w:rsid w:val="008B5B25"/>
    <w:rsid w:val="008C2E79"/>
    <w:rsid w:val="008C34A8"/>
    <w:rsid w:val="008C416F"/>
    <w:rsid w:val="008C438E"/>
    <w:rsid w:val="008C7439"/>
    <w:rsid w:val="008C7EE4"/>
    <w:rsid w:val="008D12B0"/>
    <w:rsid w:val="008D23CB"/>
    <w:rsid w:val="008D3260"/>
    <w:rsid w:val="008E2214"/>
    <w:rsid w:val="008E2640"/>
    <w:rsid w:val="008E2842"/>
    <w:rsid w:val="008E2B24"/>
    <w:rsid w:val="008E5E4E"/>
    <w:rsid w:val="008E6AEB"/>
    <w:rsid w:val="008F04FF"/>
    <w:rsid w:val="008F0935"/>
    <w:rsid w:val="008F1121"/>
    <w:rsid w:val="008F14E4"/>
    <w:rsid w:val="008F2B7F"/>
    <w:rsid w:val="008F3A8B"/>
    <w:rsid w:val="008F46C5"/>
    <w:rsid w:val="008F5EBB"/>
    <w:rsid w:val="009054FB"/>
    <w:rsid w:val="009062F6"/>
    <w:rsid w:val="0090717B"/>
    <w:rsid w:val="00907F2E"/>
    <w:rsid w:val="00910AC4"/>
    <w:rsid w:val="00912558"/>
    <w:rsid w:val="009274C6"/>
    <w:rsid w:val="00930480"/>
    <w:rsid w:val="009378DA"/>
    <w:rsid w:val="0095301C"/>
    <w:rsid w:val="00956F09"/>
    <w:rsid w:val="00957F48"/>
    <w:rsid w:val="00960CD2"/>
    <w:rsid w:val="009732E5"/>
    <w:rsid w:val="00973998"/>
    <w:rsid w:val="00981B2A"/>
    <w:rsid w:val="00982386"/>
    <w:rsid w:val="00990D25"/>
    <w:rsid w:val="00990DC1"/>
    <w:rsid w:val="00994224"/>
    <w:rsid w:val="009A1D64"/>
    <w:rsid w:val="009A275A"/>
    <w:rsid w:val="009A324A"/>
    <w:rsid w:val="009A3314"/>
    <w:rsid w:val="009A33D9"/>
    <w:rsid w:val="009A3908"/>
    <w:rsid w:val="009A78B8"/>
    <w:rsid w:val="009B46C7"/>
    <w:rsid w:val="009C205F"/>
    <w:rsid w:val="009C2540"/>
    <w:rsid w:val="009C3DB4"/>
    <w:rsid w:val="009C79BA"/>
    <w:rsid w:val="009D2638"/>
    <w:rsid w:val="009D35B4"/>
    <w:rsid w:val="009D62D7"/>
    <w:rsid w:val="009D7C8E"/>
    <w:rsid w:val="009E2011"/>
    <w:rsid w:val="009E7EDC"/>
    <w:rsid w:val="009F11C3"/>
    <w:rsid w:val="009F29E5"/>
    <w:rsid w:val="009F593C"/>
    <w:rsid w:val="009F6E8C"/>
    <w:rsid w:val="00A06948"/>
    <w:rsid w:val="00A07682"/>
    <w:rsid w:val="00A07E6D"/>
    <w:rsid w:val="00A100EE"/>
    <w:rsid w:val="00A1473D"/>
    <w:rsid w:val="00A271A5"/>
    <w:rsid w:val="00A27DB2"/>
    <w:rsid w:val="00A33E33"/>
    <w:rsid w:val="00A351E1"/>
    <w:rsid w:val="00A37330"/>
    <w:rsid w:val="00A408E4"/>
    <w:rsid w:val="00A43667"/>
    <w:rsid w:val="00A43734"/>
    <w:rsid w:val="00A478B8"/>
    <w:rsid w:val="00A51FD8"/>
    <w:rsid w:val="00A52E00"/>
    <w:rsid w:val="00A56754"/>
    <w:rsid w:val="00A628BE"/>
    <w:rsid w:val="00A63783"/>
    <w:rsid w:val="00A64BBC"/>
    <w:rsid w:val="00A661E8"/>
    <w:rsid w:val="00A71150"/>
    <w:rsid w:val="00A72479"/>
    <w:rsid w:val="00A8233C"/>
    <w:rsid w:val="00A833FB"/>
    <w:rsid w:val="00A84388"/>
    <w:rsid w:val="00A91FC8"/>
    <w:rsid w:val="00A92CE2"/>
    <w:rsid w:val="00A93169"/>
    <w:rsid w:val="00A9369A"/>
    <w:rsid w:val="00A93AA3"/>
    <w:rsid w:val="00A94D17"/>
    <w:rsid w:val="00A956F5"/>
    <w:rsid w:val="00A968AB"/>
    <w:rsid w:val="00A977F2"/>
    <w:rsid w:val="00A97EA6"/>
    <w:rsid w:val="00AA0215"/>
    <w:rsid w:val="00AA209E"/>
    <w:rsid w:val="00AA2461"/>
    <w:rsid w:val="00AA2868"/>
    <w:rsid w:val="00AA5BCD"/>
    <w:rsid w:val="00AA69DC"/>
    <w:rsid w:val="00AA70BE"/>
    <w:rsid w:val="00AA777D"/>
    <w:rsid w:val="00AB0952"/>
    <w:rsid w:val="00AB0FC3"/>
    <w:rsid w:val="00AB6450"/>
    <w:rsid w:val="00AB746C"/>
    <w:rsid w:val="00AB7BAC"/>
    <w:rsid w:val="00AC18F0"/>
    <w:rsid w:val="00AC2EF0"/>
    <w:rsid w:val="00AC30BD"/>
    <w:rsid w:val="00AC4011"/>
    <w:rsid w:val="00AC52C9"/>
    <w:rsid w:val="00AC79A9"/>
    <w:rsid w:val="00AD069B"/>
    <w:rsid w:val="00AD1802"/>
    <w:rsid w:val="00AE6336"/>
    <w:rsid w:val="00AE799E"/>
    <w:rsid w:val="00B016AD"/>
    <w:rsid w:val="00B02544"/>
    <w:rsid w:val="00B02FA6"/>
    <w:rsid w:val="00B04581"/>
    <w:rsid w:val="00B04C77"/>
    <w:rsid w:val="00B07190"/>
    <w:rsid w:val="00B07A79"/>
    <w:rsid w:val="00B07EDC"/>
    <w:rsid w:val="00B116F4"/>
    <w:rsid w:val="00B13857"/>
    <w:rsid w:val="00B13CE8"/>
    <w:rsid w:val="00B140BC"/>
    <w:rsid w:val="00B15583"/>
    <w:rsid w:val="00B173FF"/>
    <w:rsid w:val="00B221E2"/>
    <w:rsid w:val="00B235D2"/>
    <w:rsid w:val="00B25003"/>
    <w:rsid w:val="00B342F2"/>
    <w:rsid w:val="00B3441A"/>
    <w:rsid w:val="00B357C9"/>
    <w:rsid w:val="00B44A98"/>
    <w:rsid w:val="00B46517"/>
    <w:rsid w:val="00B50DD1"/>
    <w:rsid w:val="00B52ADC"/>
    <w:rsid w:val="00B54009"/>
    <w:rsid w:val="00B61756"/>
    <w:rsid w:val="00B6230B"/>
    <w:rsid w:val="00B65DE4"/>
    <w:rsid w:val="00B7053A"/>
    <w:rsid w:val="00B746A9"/>
    <w:rsid w:val="00B74880"/>
    <w:rsid w:val="00B75071"/>
    <w:rsid w:val="00B7547B"/>
    <w:rsid w:val="00B76823"/>
    <w:rsid w:val="00B833FA"/>
    <w:rsid w:val="00B903C0"/>
    <w:rsid w:val="00BA1003"/>
    <w:rsid w:val="00BA2E73"/>
    <w:rsid w:val="00BA2F35"/>
    <w:rsid w:val="00BA4791"/>
    <w:rsid w:val="00BB0A2E"/>
    <w:rsid w:val="00BB1C6E"/>
    <w:rsid w:val="00BB53EE"/>
    <w:rsid w:val="00BB5C59"/>
    <w:rsid w:val="00BB5E1A"/>
    <w:rsid w:val="00BC42C2"/>
    <w:rsid w:val="00BC5E1C"/>
    <w:rsid w:val="00BD25D5"/>
    <w:rsid w:val="00BD3A4E"/>
    <w:rsid w:val="00BD3DB4"/>
    <w:rsid w:val="00BE2480"/>
    <w:rsid w:val="00BE2B45"/>
    <w:rsid w:val="00BE5873"/>
    <w:rsid w:val="00BE5E65"/>
    <w:rsid w:val="00BE6AA4"/>
    <w:rsid w:val="00BE7D61"/>
    <w:rsid w:val="00BF1668"/>
    <w:rsid w:val="00BF34C9"/>
    <w:rsid w:val="00BF480C"/>
    <w:rsid w:val="00C05A09"/>
    <w:rsid w:val="00C06BA7"/>
    <w:rsid w:val="00C1032D"/>
    <w:rsid w:val="00C12D60"/>
    <w:rsid w:val="00C153AF"/>
    <w:rsid w:val="00C1636C"/>
    <w:rsid w:val="00C16CC7"/>
    <w:rsid w:val="00C17D96"/>
    <w:rsid w:val="00C20A30"/>
    <w:rsid w:val="00C22DE4"/>
    <w:rsid w:val="00C236B0"/>
    <w:rsid w:val="00C30C46"/>
    <w:rsid w:val="00C3583C"/>
    <w:rsid w:val="00C35D19"/>
    <w:rsid w:val="00C406C1"/>
    <w:rsid w:val="00C411AC"/>
    <w:rsid w:val="00C477C1"/>
    <w:rsid w:val="00C51F56"/>
    <w:rsid w:val="00C56577"/>
    <w:rsid w:val="00C66BA2"/>
    <w:rsid w:val="00C71085"/>
    <w:rsid w:val="00C760BA"/>
    <w:rsid w:val="00C83AD6"/>
    <w:rsid w:val="00C84530"/>
    <w:rsid w:val="00C90802"/>
    <w:rsid w:val="00C94D81"/>
    <w:rsid w:val="00C964D6"/>
    <w:rsid w:val="00C97216"/>
    <w:rsid w:val="00C976B2"/>
    <w:rsid w:val="00CA1F72"/>
    <w:rsid w:val="00CC1508"/>
    <w:rsid w:val="00CC1F2F"/>
    <w:rsid w:val="00CC542A"/>
    <w:rsid w:val="00CC6A29"/>
    <w:rsid w:val="00CC6E7D"/>
    <w:rsid w:val="00CC7AB9"/>
    <w:rsid w:val="00CD337E"/>
    <w:rsid w:val="00CE079D"/>
    <w:rsid w:val="00CE1160"/>
    <w:rsid w:val="00CE2D88"/>
    <w:rsid w:val="00CE491A"/>
    <w:rsid w:val="00CF025B"/>
    <w:rsid w:val="00CF0936"/>
    <w:rsid w:val="00CF0C9A"/>
    <w:rsid w:val="00CF13BE"/>
    <w:rsid w:val="00CF3E2E"/>
    <w:rsid w:val="00D02FF3"/>
    <w:rsid w:val="00D054AA"/>
    <w:rsid w:val="00D1132D"/>
    <w:rsid w:val="00D12A54"/>
    <w:rsid w:val="00D14207"/>
    <w:rsid w:val="00D1474F"/>
    <w:rsid w:val="00D15D0C"/>
    <w:rsid w:val="00D24B5F"/>
    <w:rsid w:val="00D269D1"/>
    <w:rsid w:val="00D41595"/>
    <w:rsid w:val="00D4459A"/>
    <w:rsid w:val="00D57888"/>
    <w:rsid w:val="00D664E7"/>
    <w:rsid w:val="00D66D74"/>
    <w:rsid w:val="00D73A49"/>
    <w:rsid w:val="00D753E7"/>
    <w:rsid w:val="00D7683B"/>
    <w:rsid w:val="00D76A35"/>
    <w:rsid w:val="00D829FC"/>
    <w:rsid w:val="00D855B2"/>
    <w:rsid w:val="00D90F52"/>
    <w:rsid w:val="00D92159"/>
    <w:rsid w:val="00D93362"/>
    <w:rsid w:val="00D94EBF"/>
    <w:rsid w:val="00D972A2"/>
    <w:rsid w:val="00DA1174"/>
    <w:rsid w:val="00DA15B6"/>
    <w:rsid w:val="00DA3881"/>
    <w:rsid w:val="00DA5892"/>
    <w:rsid w:val="00DB5397"/>
    <w:rsid w:val="00DB6D94"/>
    <w:rsid w:val="00DB7588"/>
    <w:rsid w:val="00DC1BCB"/>
    <w:rsid w:val="00DC2703"/>
    <w:rsid w:val="00DC35B0"/>
    <w:rsid w:val="00DC3AFE"/>
    <w:rsid w:val="00DC6AFB"/>
    <w:rsid w:val="00DD1E84"/>
    <w:rsid w:val="00DE063C"/>
    <w:rsid w:val="00DE204C"/>
    <w:rsid w:val="00DF360F"/>
    <w:rsid w:val="00DF5242"/>
    <w:rsid w:val="00DF6206"/>
    <w:rsid w:val="00DF7FAF"/>
    <w:rsid w:val="00E01602"/>
    <w:rsid w:val="00E02C3A"/>
    <w:rsid w:val="00E02D6B"/>
    <w:rsid w:val="00E10E24"/>
    <w:rsid w:val="00E1273C"/>
    <w:rsid w:val="00E162F3"/>
    <w:rsid w:val="00E23D4A"/>
    <w:rsid w:val="00E301A5"/>
    <w:rsid w:val="00E32F2E"/>
    <w:rsid w:val="00E3603F"/>
    <w:rsid w:val="00E366C0"/>
    <w:rsid w:val="00E368B6"/>
    <w:rsid w:val="00E37738"/>
    <w:rsid w:val="00E4101D"/>
    <w:rsid w:val="00E41730"/>
    <w:rsid w:val="00E45FEC"/>
    <w:rsid w:val="00E520E1"/>
    <w:rsid w:val="00E52687"/>
    <w:rsid w:val="00E55491"/>
    <w:rsid w:val="00E61170"/>
    <w:rsid w:val="00E66892"/>
    <w:rsid w:val="00E66B4B"/>
    <w:rsid w:val="00E66DDA"/>
    <w:rsid w:val="00E67117"/>
    <w:rsid w:val="00E67756"/>
    <w:rsid w:val="00E75FC7"/>
    <w:rsid w:val="00E77247"/>
    <w:rsid w:val="00E8530E"/>
    <w:rsid w:val="00E86ED4"/>
    <w:rsid w:val="00E9041D"/>
    <w:rsid w:val="00EA1A74"/>
    <w:rsid w:val="00EA25F1"/>
    <w:rsid w:val="00EA3424"/>
    <w:rsid w:val="00EA3AD4"/>
    <w:rsid w:val="00EA49D1"/>
    <w:rsid w:val="00EA5794"/>
    <w:rsid w:val="00EA5CF4"/>
    <w:rsid w:val="00EB32C8"/>
    <w:rsid w:val="00EC5728"/>
    <w:rsid w:val="00EE0C53"/>
    <w:rsid w:val="00EE216B"/>
    <w:rsid w:val="00EE41A3"/>
    <w:rsid w:val="00EE4DE5"/>
    <w:rsid w:val="00EF47D3"/>
    <w:rsid w:val="00F02514"/>
    <w:rsid w:val="00F034E5"/>
    <w:rsid w:val="00F05C7D"/>
    <w:rsid w:val="00F12F38"/>
    <w:rsid w:val="00F14F6C"/>
    <w:rsid w:val="00F156C0"/>
    <w:rsid w:val="00F170E4"/>
    <w:rsid w:val="00F22A75"/>
    <w:rsid w:val="00F239F1"/>
    <w:rsid w:val="00F23E32"/>
    <w:rsid w:val="00F250A4"/>
    <w:rsid w:val="00F25BE2"/>
    <w:rsid w:val="00F264FA"/>
    <w:rsid w:val="00F26575"/>
    <w:rsid w:val="00F27514"/>
    <w:rsid w:val="00F33F5A"/>
    <w:rsid w:val="00F34A0F"/>
    <w:rsid w:val="00F359B4"/>
    <w:rsid w:val="00F374C9"/>
    <w:rsid w:val="00F45758"/>
    <w:rsid w:val="00F53AFB"/>
    <w:rsid w:val="00F54921"/>
    <w:rsid w:val="00F601EF"/>
    <w:rsid w:val="00F6138F"/>
    <w:rsid w:val="00F67B0F"/>
    <w:rsid w:val="00F7246E"/>
    <w:rsid w:val="00F766B5"/>
    <w:rsid w:val="00F802C4"/>
    <w:rsid w:val="00F80744"/>
    <w:rsid w:val="00F82257"/>
    <w:rsid w:val="00F8311E"/>
    <w:rsid w:val="00F84673"/>
    <w:rsid w:val="00F8695B"/>
    <w:rsid w:val="00FA19A2"/>
    <w:rsid w:val="00FB24AC"/>
    <w:rsid w:val="00FB3370"/>
    <w:rsid w:val="00FB6631"/>
    <w:rsid w:val="00FB6F1F"/>
    <w:rsid w:val="00FD45E8"/>
    <w:rsid w:val="00FD53D8"/>
    <w:rsid w:val="00FE1747"/>
    <w:rsid w:val="00FE1C9F"/>
    <w:rsid w:val="00FE2C44"/>
    <w:rsid w:val="00FE68C4"/>
    <w:rsid w:val="00FF5FDA"/>
    <w:rsid w:val="00FF6939"/>
    <w:rsid w:val="03FE6A2A"/>
    <w:rsid w:val="03FFCAE5"/>
    <w:rsid w:val="07BB7A09"/>
    <w:rsid w:val="09700C20"/>
    <w:rsid w:val="0B1F97D0"/>
    <w:rsid w:val="0B5B0C48"/>
    <w:rsid w:val="0DE3B59C"/>
    <w:rsid w:val="0DF9014F"/>
    <w:rsid w:val="0FD92CE1"/>
    <w:rsid w:val="0FDF3025"/>
    <w:rsid w:val="0FF36976"/>
    <w:rsid w:val="0FFF5209"/>
    <w:rsid w:val="12FB585C"/>
    <w:rsid w:val="13FF0E90"/>
    <w:rsid w:val="13FF5524"/>
    <w:rsid w:val="145A1E9B"/>
    <w:rsid w:val="15CC9D4E"/>
    <w:rsid w:val="161B2F19"/>
    <w:rsid w:val="166525DD"/>
    <w:rsid w:val="167726B9"/>
    <w:rsid w:val="167D0110"/>
    <w:rsid w:val="16FE51A7"/>
    <w:rsid w:val="16FEC781"/>
    <w:rsid w:val="17E6464C"/>
    <w:rsid w:val="17F588E9"/>
    <w:rsid w:val="19BD394A"/>
    <w:rsid w:val="19E7F6E7"/>
    <w:rsid w:val="19FD128A"/>
    <w:rsid w:val="1AE3603B"/>
    <w:rsid w:val="1AE735A6"/>
    <w:rsid w:val="1AFF2314"/>
    <w:rsid w:val="1AFFDFEE"/>
    <w:rsid w:val="1BFF9701"/>
    <w:rsid w:val="1CED3075"/>
    <w:rsid w:val="1DAA4D7B"/>
    <w:rsid w:val="1DDB302E"/>
    <w:rsid w:val="1DFCB65E"/>
    <w:rsid w:val="1E3F874B"/>
    <w:rsid w:val="1E7E4AB5"/>
    <w:rsid w:val="1EBB0C97"/>
    <w:rsid w:val="1EDF796C"/>
    <w:rsid w:val="1EEB5744"/>
    <w:rsid w:val="1EF0E02F"/>
    <w:rsid w:val="1EFFFAC5"/>
    <w:rsid w:val="1F2F7D32"/>
    <w:rsid w:val="1F5940A0"/>
    <w:rsid w:val="1FF73A04"/>
    <w:rsid w:val="1FF76DFC"/>
    <w:rsid w:val="1FF907EF"/>
    <w:rsid w:val="21C79F4B"/>
    <w:rsid w:val="21FFF653"/>
    <w:rsid w:val="223B07F0"/>
    <w:rsid w:val="25AE5DD2"/>
    <w:rsid w:val="27C92AAE"/>
    <w:rsid w:val="27F784FB"/>
    <w:rsid w:val="29FE7E40"/>
    <w:rsid w:val="2A764810"/>
    <w:rsid w:val="2AD03C38"/>
    <w:rsid w:val="2BBDBD1A"/>
    <w:rsid w:val="2BE7F73F"/>
    <w:rsid w:val="2BEF43E9"/>
    <w:rsid w:val="2BF723BA"/>
    <w:rsid w:val="2CF7B943"/>
    <w:rsid w:val="2D6F8457"/>
    <w:rsid w:val="2D9A2A36"/>
    <w:rsid w:val="2DBB4C0F"/>
    <w:rsid w:val="2DDD0C7B"/>
    <w:rsid w:val="2DEF1478"/>
    <w:rsid w:val="2DFCAB26"/>
    <w:rsid w:val="2DFD7241"/>
    <w:rsid w:val="2EBF6FA1"/>
    <w:rsid w:val="2F3658AE"/>
    <w:rsid w:val="2F595F57"/>
    <w:rsid w:val="2F6F52F8"/>
    <w:rsid w:val="2FBF2C82"/>
    <w:rsid w:val="2FBF43BA"/>
    <w:rsid w:val="2FED43CB"/>
    <w:rsid w:val="2FF9E694"/>
    <w:rsid w:val="2FFA5AB4"/>
    <w:rsid w:val="2FFC4040"/>
    <w:rsid w:val="2FFFC54E"/>
    <w:rsid w:val="30F7E7D3"/>
    <w:rsid w:val="317161D0"/>
    <w:rsid w:val="31BD1C7E"/>
    <w:rsid w:val="327F90B8"/>
    <w:rsid w:val="336D43A1"/>
    <w:rsid w:val="337F6A68"/>
    <w:rsid w:val="33DF2E97"/>
    <w:rsid w:val="33FF1190"/>
    <w:rsid w:val="3517477A"/>
    <w:rsid w:val="35D98DCD"/>
    <w:rsid w:val="35EF2097"/>
    <w:rsid w:val="35FAAF6C"/>
    <w:rsid w:val="35FB3C76"/>
    <w:rsid w:val="35FC2756"/>
    <w:rsid w:val="35FE1E99"/>
    <w:rsid w:val="369E30BB"/>
    <w:rsid w:val="36FF569B"/>
    <w:rsid w:val="374FBD8F"/>
    <w:rsid w:val="375A7FEE"/>
    <w:rsid w:val="375D7387"/>
    <w:rsid w:val="3775C68A"/>
    <w:rsid w:val="378E2C26"/>
    <w:rsid w:val="37939A76"/>
    <w:rsid w:val="37B58E96"/>
    <w:rsid w:val="37BB819E"/>
    <w:rsid w:val="37BF8920"/>
    <w:rsid w:val="37EF107A"/>
    <w:rsid w:val="37F2F89F"/>
    <w:rsid w:val="37FD0E2F"/>
    <w:rsid w:val="37FD2A3C"/>
    <w:rsid w:val="38FD82E9"/>
    <w:rsid w:val="39FFF656"/>
    <w:rsid w:val="3A6E48DF"/>
    <w:rsid w:val="3A9D2057"/>
    <w:rsid w:val="3AF35D77"/>
    <w:rsid w:val="3B27777F"/>
    <w:rsid w:val="3B74A7B3"/>
    <w:rsid w:val="3B77E2B7"/>
    <w:rsid w:val="3B7FC795"/>
    <w:rsid w:val="3B9FF146"/>
    <w:rsid w:val="3BB967F9"/>
    <w:rsid w:val="3BBBE3D6"/>
    <w:rsid w:val="3BCF2182"/>
    <w:rsid w:val="3BF99468"/>
    <w:rsid w:val="3BFED0DF"/>
    <w:rsid w:val="3BFFA0E9"/>
    <w:rsid w:val="3BFFEDE9"/>
    <w:rsid w:val="3C775A97"/>
    <w:rsid w:val="3CCF4C7B"/>
    <w:rsid w:val="3CEF7AB7"/>
    <w:rsid w:val="3CEFD2EC"/>
    <w:rsid w:val="3D3B75C4"/>
    <w:rsid w:val="3D572431"/>
    <w:rsid w:val="3D75DF59"/>
    <w:rsid w:val="3D79A1C9"/>
    <w:rsid w:val="3DD614BB"/>
    <w:rsid w:val="3DDFACB7"/>
    <w:rsid w:val="3DF607F8"/>
    <w:rsid w:val="3DF7EEF8"/>
    <w:rsid w:val="3DFA1EE9"/>
    <w:rsid w:val="3DFB39AB"/>
    <w:rsid w:val="3E55C33F"/>
    <w:rsid w:val="3E743196"/>
    <w:rsid w:val="3E7B9128"/>
    <w:rsid w:val="3E7DFE8E"/>
    <w:rsid w:val="3E7E9B1E"/>
    <w:rsid w:val="3EAFE70D"/>
    <w:rsid w:val="3EBB1BA1"/>
    <w:rsid w:val="3EEEA7C0"/>
    <w:rsid w:val="3EFC4397"/>
    <w:rsid w:val="3EFD5F31"/>
    <w:rsid w:val="3F36180F"/>
    <w:rsid w:val="3F6BFB15"/>
    <w:rsid w:val="3F6F7578"/>
    <w:rsid w:val="3FB71CCC"/>
    <w:rsid w:val="3FB7FC19"/>
    <w:rsid w:val="3FBFA750"/>
    <w:rsid w:val="3FDF6E5E"/>
    <w:rsid w:val="3FE7D41A"/>
    <w:rsid w:val="3FEBB4E8"/>
    <w:rsid w:val="3FEF3B72"/>
    <w:rsid w:val="3FF763F9"/>
    <w:rsid w:val="3FF78F7B"/>
    <w:rsid w:val="3FFAB12A"/>
    <w:rsid w:val="3FFBD0A6"/>
    <w:rsid w:val="3FFDEE1D"/>
    <w:rsid w:val="3FFDFA8B"/>
    <w:rsid w:val="3FFE26A7"/>
    <w:rsid w:val="3FFF37E7"/>
    <w:rsid w:val="3FFF6B42"/>
    <w:rsid w:val="3FFF9584"/>
    <w:rsid w:val="3FFFF079"/>
    <w:rsid w:val="3FFFF0DA"/>
    <w:rsid w:val="41E574F9"/>
    <w:rsid w:val="4218615E"/>
    <w:rsid w:val="42F4478F"/>
    <w:rsid w:val="45D9E339"/>
    <w:rsid w:val="45DF8A82"/>
    <w:rsid w:val="4676F33B"/>
    <w:rsid w:val="46E3BEFF"/>
    <w:rsid w:val="46FFFE55"/>
    <w:rsid w:val="479E7A23"/>
    <w:rsid w:val="479F0E66"/>
    <w:rsid w:val="47B926B8"/>
    <w:rsid w:val="47FBF250"/>
    <w:rsid w:val="497A01F0"/>
    <w:rsid w:val="49D7D899"/>
    <w:rsid w:val="49FF25C4"/>
    <w:rsid w:val="4AEB300D"/>
    <w:rsid w:val="4B1D55E7"/>
    <w:rsid w:val="4B3371CD"/>
    <w:rsid w:val="4B7F7DBD"/>
    <w:rsid w:val="4BC7EF88"/>
    <w:rsid w:val="4BDFB804"/>
    <w:rsid w:val="4BE63BDF"/>
    <w:rsid w:val="4BEFF72B"/>
    <w:rsid w:val="4DB7EBCF"/>
    <w:rsid w:val="4DDFEAA5"/>
    <w:rsid w:val="4DF8D37E"/>
    <w:rsid w:val="4E674A31"/>
    <w:rsid w:val="4E7D3A65"/>
    <w:rsid w:val="4E8B24B7"/>
    <w:rsid w:val="4EBC2478"/>
    <w:rsid w:val="4EDB0D2A"/>
    <w:rsid w:val="4EF810E7"/>
    <w:rsid w:val="4F3A7CAA"/>
    <w:rsid w:val="4F7CC250"/>
    <w:rsid w:val="4F7E306D"/>
    <w:rsid w:val="4F95625A"/>
    <w:rsid w:val="4FBE1135"/>
    <w:rsid w:val="4FF7699B"/>
    <w:rsid w:val="4FFA5997"/>
    <w:rsid w:val="4FFECED0"/>
    <w:rsid w:val="4FFF40C6"/>
    <w:rsid w:val="50E205CD"/>
    <w:rsid w:val="51368167"/>
    <w:rsid w:val="51640111"/>
    <w:rsid w:val="51ABD926"/>
    <w:rsid w:val="51FED7AB"/>
    <w:rsid w:val="51FF4E26"/>
    <w:rsid w:val="525D4AA2"/>
    <w:rsid w:val="53AEE643"/>
    <w:rsid w:val="53EDA488"/>
    <w:rsid w:val="53FCA8E4"/>
    <w:rsid w:val="542ED49B"/>
    <w:rsid w:val="549731A7"/>
    <w:rsid w:val="54CB1BCD"/>
    <w:rsid w:val="5577F991"/>
    <w:rsid w:val="55FB4911"/>
    <w:rsid w:val="55FC9998"/>
    <w:rsid w:val="55FF67CF"/>
    <w:rsid w:val="560EC6CD"/>
    <w:rsid w:val="5673EA7F"/>
    <w:rsid w:val="56A66B5E"/>
    <w:rsid w:val="56BFAC1B"/>
    <w:rsid w:val="56FE075C"/>
    <w:rsid w:val="5737BD36"/>
    <w:rsid w:val="57ADB531"/>
    <w:rsid w:val="57AF9285"/>
    <w:rsid w:val="57B601B8"/>
    <w:rsid w:val="57D4E427"/>
    <w:rsid w:val="57DC130A"/>
    <w:rsid w:val="57FAACC9"/>
    <w:rsid w:val="57FB2BD3"/>
    <w:rsid w:val="57FBFCC2"/>
    <w:rsid w:val="57FCF454"/>
    <w:rsid w:val="57FED85F"/>
    <w:rsid w:val="57FF71E7"/>
    <w:rsid w:val="597F3031"/>
    <w:rsid w:val="59FE0C51"/>
    <w:rsid w:val="5ABFF800"/>
    <w:rsid w:val="5AF6FE0D"/>
    <w:rsid w:val="5AFD56E2"/>
    <w:rsid w:val="5AFF6792"/>
    <w:rsid w:val="5B084A0C"/>
    <w:rsid w:val="5B3FD49B"/>
    <w:rsid w:val="5B3FF65C"/>
    <w:rsid w:val="5B5E767C"/>
    <w:rsid w:val="5B7ECD49"/>
    <w:rsid w:val="5BBF0028"/>
    <w:rsid w:val="5BD462C2"/>
    <w:rsid w:val="5BEB17C4"/>
    <w:rsid w:val="5BF0FACC"/>
    <w:rsid w:val="5BF7EFC9"/>
    <w:rsid w:val="5BFB35DD"/>
    <w:rsid w:val="5BFE13AD"/>
    <w:rsid w:val="5C48164A"/>
    <w:rsid w:val="5C77B35B"/>
    <w:rsid w:val="5CFE5E31"/>
    <w:rsid w:val="5CFF4640"/>
    <w:rsid w:val="5CFF98AF"/>
    <w:rsid w:val="5D5BB09B"/>
    <w:rsid w:val="5D5FB327"/>
    <w:rsid w:val="5D6748CD"/>
    <w:rsid w:val="5DB30CEF"/>
    <w:rsid w:val="5DDE2F13"/>
    <w:rsid w:val="5DE92330"/>
    <w:rsid w:val="5DEE395C"/>
    <w:rsid w:val="5DFE5341"/>
    <w:rsid w:val="5E5FA656"/>
    <w:rsid w:val="5E78EB1E"/>
    <w:rsid w:val="5EBF92E6"/>
    <w:rsid w:val="5ECB0559"/>
    <w:rsid w:val="5ED74100"/>
    <w:rsid w:val="5EEFBFA1"/>
    <w:rsid w:val="5EFA7CCD"/>
    <w:rsid w:val="5F1F93D7"/>
    <w:rsid w:val="5F2E19EF"/>
    <w:rsid w:val="5F4FD4C4"/>
    <w:rsid w:val="5F9F9553"/>
    <w:rsid w:val="5FB1FDDE"/>
    <w:rsid w:val="5FBF618F"/>
    <w:rsid w:val="5FC345B6"/>
    <w:rsid w:val="5FCA7697"/>
    <w:rsid w:val="5FCF783A"/>
    <w:rsid w:val="5FD36A78"/>
    <w:rsid w:val="5FD3BC5D"/>
    <w:rsid w:val="5FD591F8"/>
    <w:rsid w:val="5FDFBDB0"/>
    <w:rsid w:val="5FE95F33"/>
    <w:rsid w:val="5FED4772"/>
    <w:rsid w:val="5FEE5A42"/>
    <w:rsid w:val="5FEF798A"/>
    <w:rsid w:val="5FEFDF00"/>
    <w:rsid w:val="5FF6B9A8"/>
    <w:rsid w:val="5FF73AF4"/>
    <w:rsid w:val="5FF7676A"/>
    <w:rsid w:val="5FF911F1"/>
    <w:rsid w:val="5FF9A28D"/>
    <w:rsid w:val="5FFEFAF1"/>
    <w:rsid w:val="5FFEFDD8"/>
    <w:rsid w:val="5FFF0601"/>
    <w:rsid w:val="5FFF7781"/>
    <w:rsid w:val="5FFFAC87"/>
    <w:rsid w:val="5FFFBFDC"/>
    <w:rsid w:val="5FFFDC2A"/>
    <w:rsid w:val="61425A64"/>
    <w:rsid w:val="61FDE15E"/>
    <w:rsid w:val="627B8D3E"/>
    <w:rsid w:val="62D50087"/>
    <w:rsid w:val="637DBF1D"/>
    <w:rsid w:val="650E2877"/>
    <w:rsid w:val="65FB8C13"/>
    <w:rsid w:val="668B80DD"/>
    <w:rsid w:val="66BB3956"/>
    <w:rsid w:val="66BF0E76"/>
    <w:rsid w:val="66C81CD7"/>
    <w:rsid w:val="66DFED02"/>
    <w:rsid w:val="66EFC26B"/>
    <w:rsid w:val="67331E07"/>
    <w:rsid w:val="678B9359"/>
    <w:rsid w:val="678F86F8"/>
    <w:rsid w:val="679F04A6"/>
    <w:rsid w:val="67EB6858"/>
    <w:rsid w:val="67FA9D73"/>
    <w:rsid w:val="67FB4CCD"/>
    <w:rsid w:val="67FB52E4"/>
    <w:rsid w:val="67FE5C9D"/>
    <w:rsid w:val="688E2F2A"/>
    <w:rsid w:val="68E6BC13"/>
    <w:rsid w:val="68EF7412"/>
    <w:rsid w:val="68FF60DC"/>
    <w:rsid w:val="695F6A47"/>
    <w:rsid w:val="6A6EA37B"/>
    <w:rsid w:val="6A7D9A63"/>
    <w:rsid w:val="6A7F1B77"/>
    <w:rsid w:val="6B36D085"/>
    <w:rsid w:val="6B3D3EF5"/>
    <w:rsid w:val="6BCB65A9"/>
    <w:rsid w:val="6BCF480F"/>
    <w:rsid w:val="6BE57435"/>
    <w:rsid w:val="6BE9E996"/>
    <w:rsid w:val="6BF6837A"/>
    <w:rsid w:val="6BFCF54D"/>
    <w:rsid w:val="6BFF31C1"/>
    <w:rsid w:val="6C2754A0"/>
    <w:rsid w:val="6CF30505"/>
    <w:rsid w:val="6CFB59A6"/>
    <w:rsid w:val="6D4DC35E"/>
    <w:rsid w:val="6D6F9A6A"/>
    <w:rsid w:val="6D7B8C7D"/>
    <w:rsid w:val="6D7BED8A"/>
    <w:rsid w:val="6D93A9E6"/>
    <w:rsid w:val="6DBE1FD3"/>
    <w:rsid w:val="6DBFDB33"/>
    <w:rsid w:val="6DE39C7F"/>
    <w:rsid w:val="6DF3ACE4"/>
    <w:rsid w:val="6DFB5967"/>
    <w:rsid w:val="6DFE6D2B"/>
    <w:rsid w:val="6DFF0F14"/>
    <w:rsid w:val="6E3C4133"/>
    <w:rsid w:val="6E7D8586"/>
    <w:rsid w:val="6E7F55D6"/>
    <w:rsid w:val="6E94A910"/>
    <w:rsid w:val="6EBE325D"/>
    <w:rsid w:val="6EBF40F9"/>
    <w:rsid w:val="6EDF0BE1"/>
    <w:rsid w:val="6EE7ECAE"/>
    <w:rsid w:val="6EEDFE67"/>
    <w:rsid w:val="6EFC9B0D"/>
    <w:rsid w:val="6EFCCBFD"/>
    <w:rsid w:val="6F3BA943"/>
    <w:rsid w:val="6F7B36E6"/>
    <w:rsid w:val="6F7B6973"/>
    <w:rsid w:val="6F7DFC64"/>
    <w:rsid w:val="6FADF3B9"/>
    <w:rsid w:val="6FBB27F8"/>
    <w:rsid w:val="6FBF497E"/>
    <w:rsid w:val="6FBF5FD0"/>
    <w:rsid w:val="6FDD91F9"/>
    <w:rsid w:val="6FE621FC"/>
    <w:rsid w:val="6FEE23B1"/>
    <w:rsid w:val="6FEF81CA"/>
    <w:rsid w:val="6FEFA503"/>
    <w:rsid w:val="6FEFE12D"/>
    <w:rsid w:val="6FF31C18"/>
    <w:rsid w:val="6FF4198C"/>
    <w:rsid w:val="6FF72F0E"/>
    <w:rsid w:val="6FF78160"/>
    <w:rsid w:val="6FF95DB1"/>
    <w:rsid w:val="6FF979DA"/>
    <w:rsid w:val="6FFB08D9"/>
    <w:rsid w:val="6FFBFD32"/>
    <w:rsid w:val="6FFD78F1"/>
    <w:rsid w:val="6FFE34AD"/>
    <w:rsid w:val="6FFEE2C0"/>
    <w:rsid w:val="6FFF438D"/>
    <w:rsid w:val="6FFF9DC1"/>
    <w:rsid w:val="71980660"/>
    <w:rsid w:val="71FE7A8E"/>
    <w:rsid w:val="723D331D"/>
    <w:rsid w:val="723F5158"/>
    <w:rsid w:val="727C57F0"/>
    <w:rsid w:val="7297BCFC"/>
    <w:rsid w:val="72FFCBFB"/>
    <w:rsid w:val="733F5238"/>
    <w:rsid w:val="73F74257"/>
    <w:rsid w:val="73FB85CC"/>
    <w:rsid w:val="73FD5AF9"/>
    <w:rsid w:val="748B60C5"/>
    <w:rsid w:val="755727D9"/>
    <w:rsid w:val="757DE146"/>
    <w:rsid w:val="75BA1950"/>
    <w:rsid w:val="75BF2DC0"/>
    <w:rsid w:val="75C9BF2C"/>
    <w:rsid w:val="75DF427F"/>
    <w:rsid w:val="75ED5D32"/>
    <w:rsid w:val="75EF17FF"/>
    <w:rsid w:val="75EFAC4B"/>
    <w:rsid w:val="75F384DF"/>
    <w:rsid w:val="75F7BC01"/>
    <w:rsid w:val="75FB5527"/>
    <w:rsid w:val="75FBEB75"/>
    <w:rsid w:val="75FDBF46"/>
    <w:rsid w:val="75FF0C65"/>
    <w:rsid w:val="76673B8F"/>
    <w:rsid w:val="76B744D3"/>
    <w:rsid w:val="76BFA055"/>
    <w:rsid w:val="76EBB88C"/>
    <w:rsid w:val="76F5421E"/>
    <w:rsid w:val="76F7A0D9"/>
    <w:rsid w:val="76FBD538"/>
    <w:rsid w:val="76FF2909"/>
    <w:rsid w:val="76FFBD5D"/>
    <w:rsid w:val="772DF3AC"/>
    <w:rsid w:val="773986F9"/>
    <w:rsid w:val="773A1456"/>
    <w:rsid w:val="773F8A89"/>
    <w:rsid w:val="777F7AB9"/>
    <w:rsid w:val="779F691C"/>
    <w:rsid w:val="77BF2FB6"/>
    <w:rsid w:val="77D632FD"/>
    <w:rsid w:val="77DF99F9"/>
    <w:rsid w:val="77EAD9E8"/>
    <w:rsid w:val="77EDB3A6"/>
    <w:rsid w:val="77EF3FE3"/>
    <w:rsid w:val="77F3A266"/>
    <w:rsid w:val="77F4E846"/>
    <w:rsid w:val="77F66706"/>
    <w:rsid w:val="77F7F6A6"/>
    <w:rsid w:val="77F9CC64"/>
    <w:rsid w:val="77FB2286"/>
    <w:rsid w:val="77FB4794"/>
    <w:rsid w:val="77FCDFB0"/>
    <w:rsid w:val="77FDF9A3"/>
    <w:rsid w:val="77FE1227"/>
    <w:rsid w:val="77FF282F"/>
    <w:rsid w:val="786BA8DC"/>
    <w:rsid w:val="78BFBB16"/>
    <w:rsid w:val="78FB5CDA"/>
    <w:rsid w:val="78FEA77C"/>
    <w:rsid w:val="78FF5BE2"/>
    <w:rsid w:val="793F8741"/>
    <w:rsid w:val="796726CD"/>
    <w:rsid w:val="796F39E4"/>
    <w:rsid w:val="79C3ABE1"/>
    <w:rsid w:val="79D72E04"/>
    <w:rsid w:val="79F3D510"/>
    <w:rsid w:val="79F6AE65"/>
    <w:rsid w:val="79F9AF05"/>
    <w:rsid w:val="79FA64CB"/>
    <w:rsid w:val="79FEBB3C"/>
    <w:rsid w:val="7A1C5750"/>
    <w:rsid w:val="7A1DF7B7"/>
    <w:rsid w:val="7A379418"/>
    <w:rsid w:val="7A3F08DF"/>
    <w:rsid w:val="7A3F85AD"/>
    <w:rsid w:val="7A3FF4F0"/>
    <w:rsid w:val="7A77BB4B"/>
    <w:rsid w:val="7A7F7545"/>
    <w:rsid w:val="7A9D9A45"/>
    <w:rsid w:val="7AB7DE59"/>
    <w:rsid w:val="7ABD5B89"/>
    <w:rsid w:val="7ABFDCE9"/>
    <w:rsid w:val="7ADA9928"/>
    <w:rsid w:val="7ADB6915"/>
    <w:rsid w:val="7ADF6E5C"/>
    <w:rsid w:val="7ADFB55F"/>
    <w:rsid w:val="7AEF3169"/>
    <w:rsid w:val="7AEF36B6"/>
    <w:rsid w:val="7AFB67A9"/>
    <w:rsid w:val="7AFBD1DE"/>
    <w:rsid w:val="7B5DEECC"/>
    <w:rsid w:val="7B71E6E2"/>
    <w:rsid w:val="7B7D4497"/>
    <w:rsid w:val="7B7F9ABA"/>
    <w:rsid w:val="7B85A938"/>
    <w:rsid w:val="7B9D195D"/>
    <w:rsid w:val="7BAC4F39"/>
    <w:rsid w:val="7BB14CAD"/>
    <w:rsid w:val="7BB326A0"/>
    <w:rsid w:val="7BBE0495"/>
    <w:rsid w:val="7BDBCF18"/>
    <w:rsid w:val="7BDDDC5A"/>
    <w:rsid w:val="7BDF7355"/>
    <w:rsid w:val="7BE545EC"/>
    <w:rsid w:val="7BEEBC2C"/>
    <w:rsid w:val="7BEF4643"/>
    <w:rsid w:val="7BF769C6"/>
    <w:rsid w:val="7BF76D00"/>
    <w:rsid w:val="7BF92C04"/>
    <w:rsid w:val="7BFAB1F2"/>
    <w:rsid w:val="7BFB7FA1"/>
    <w:rsid w:val="7BFF5F5C"/>
    <w:rsid w:val="7BFF9DEC"/>
    <w:rsid w:val="7BFFAD9D"/>
    <w:rsid w:val="7C3E335C"/>
    <w:rsid w:val="7C4FBA81"/>
    <w:rsid w:val="7C627DDE"/>
    <w:rsid w:val="7C771635"/>
    <w:rsid w:val="7C7E80F3"/>
    <w:rsid w:val="7C9DE95F"/>
    <w:rsid w:val="7CA3E458"/>
    <w:rsid w:val="7CBFF76F"/>
    <w:rsid w:val="7CEBE7B0"/>
    <w:rsid w:val="7CF900EB"/>
    <w:rsid w:val="7CFB41AD"/>
    <w:rsid w:val="7CFC1346"/>
    <w:rsid w:val="7D2BA428"/>
    <w:rsid w:val="7D52996B"/>
    <w:rsid w:val="7D6B506E"/>
    <w:rsid w:val="7D77F760"/>
    <w:rsid w:val="7D7DB9BC"/>
    <w:rsid w:val="7D7FA95E"/>
    <w:rsid w:val="7DB74669"/>
    <w:rsid w:val="7DBF23A4"/>
    <w:rsid w:val="7DCBDC22"/>
    <w:rsid w:val="7DDBB4B7"/>
    <w:rsid w:val="7DDD34B0"/>
    <w:rsid w:val="7DDED50E"/>
    <w:rsid w:val="7DDF635E"/>
    <w:rsid w:val="7DED614F"/>
    <w:rsid w:val="7DED7185"/>
    <w:rsid w:val="7DF1F310"/>
    <w:rsid w:val="7DF203D0"/>
    <w:rsid w:val="7DF73D4D"/>
    <w:rsid w:val="7DF7C10F"/>
    <w:rsid w:val="7DFC68FF"/>
    <w:rsid w:val="7DFCC5FC"/>
    <w:rsid w:val="7DFDE622"/>
    <w:rsid w:val="7DFF3227"/>
    <w:rsid w:val="7DFF4ADF"/>
    <w:rsid w:val="7E5F3D64"/>
    <w:rsid w:val="7E7DB4E6"/>
    <w:rsid w:val="7E7F750A"/>
    <w:rsid w:val="7EB7A660"/>
    <w:rsid w:val="7EB7CD00"/>
    <w:rsid w:val="7EC7D4CA"/>
    <w:rsid w:val="7EDE60C9"/>
    <w:rsid w:val="7EDEB7C8"/>
    <w:rsid w:val="7EE5F07E"/>
    <w:rsid w:val="7EE6326D"/>
    <w:rsid w:val="7EF257D9"/>
    <w:rsid w:val="7EF72A09"/>
    <w:rsid w:val="7EF7A141"/>
    <w:rsid w:val="7EFB6640"/>
    <w:rsid w:val="7EFEC76F"/>
    <w:rsid w:val="7EFF1E1E"/>
    <w:rsid w:val="7EFF299A"/>
    <w:rsid w:val="7EFF71FF"/>
    <w:rsid w:val="7EFF7624"/>
    <w:rsid w:val="7F33D31C"/>
    <w:rsid w:val="7F3AA50E"/>
    <w:rsid w:val="7F3F2642"/>
    <w:rsid w:val="7F4FDEB8"/>
    <w:rsid w:val="7F5E01DE"/>
    <w:rsid w:val="7F5EE627"/>
    <w:rsid w:val="7F5F0D08"/>
    <w:rsid w:val="7F5F195F"/>
    <w:rsid w:val="7F5F8814"/>
    <w:rsid w:val="7F5FF7AA"/>
    <w:rsid w:val="7F6C893D"/>
    <w:rsid w:val="7F6FAA45"/>
    <w:rsid w:val="7F6FED00"/>
    <w:rsid w:val="7F7096BB"/>
    <w:rsid w:val="7F738610"/>
    <w:rsid w:val="7F752C5E"/>
    <w:rsid w:val="7F75A35D"/>
    <w:rsid w:val="7F7B39FB"/>
    <w:rsid w:val="7F7D58EC"/>
    <w:rsid w:val="7F7F2732"/>
    <w:rsid w:val="7F7FC58F"/>
    <w:rsid w:val="7F7FC9F2"/>
    <w:rsid w:val="7F7FEE19"/>
    <w:rsid w:val="7F991A96"/>
    <w:rsid w:val="7F9E6EE3"/>
    <w:rsid w:val="7F9F589C"/>
    <w:rsid w:val="7FA71E05"/>
    <w:rsid w:val="7FB57161"/>
    <w:rsid w:val="7FBBAE96"/>
    <w:rsid w:val="7FBE1AA9"/>
    <w:rsid w:val="7FBEC6AD"/>
    <w:rsid w:val="7FBF62D7"/>
    <w:rsid w:val="7FBF849A"/>
    <w:rsid w:val="7FBF85DC"/>
    <w:rsid w:val="7FC62C2C"/>
    <w:rsid w:val="7FCB8058"/>
    <w:rsid w:val="7FCE2E48"/>
    <w:rsid w:val="7FCF5537"/>
    <w:rsid w:val="7FCFA4C0"/>
    <w:rsid w:val="7FD724EC"/>
    <w:rsid w:val="7FD727C7"/>
    <w:rsid w:val="7FDD430E"/>
    <w:rsid w:val="7FDDFAE0"/>
    <w:rsid w:val="7FDEDB48"/>
    <w:rsid w:val="7FDF2A97"/>
    <w:rsid w:val="7FE1DE8F"/>
    <w:rsid w:val="7FE55B46"/>
    <w:rsid w:val="7FEF0134"/>
    <w:rsid w:val="7FEF291D"/>
    <w:rsid w:val="7FEF374B"/>
    <w:rsid w:val="7FEF3B95"/>
    <w:rsid w:val="7FEF8071"/>
    <w:rsid w:val="7FEFF0BE"/>
    <w:rsid w:val="7FF39BD6"/>
    <w:rsid w:val="7FF3A650"/>
    <w:rsid w:val="7FF5C07A"/>
    <w:rsid w:val="7FF73BA7"/>
    <w:rsid w:val="7FF79E99"/>
    <w:rsid w:val="7FF977BC"/>
    <w:rsid w:val="7FFBBE88"/>
    <w:rsid w:val="7FFBD584"/>
    <w:rsid w:val="7FFBEB0A"/>
    <w:rsid w:val="7FFC7305"/>
    <w:rsid w:val="7FFCBE67"/>
    <w:rsid w:val="7FFDFF33"/>
    <w:rsid w:val="7FFE0977"/>
    <w:rsid w:val="7FFE6C46"/>
    <w:rsid w:val="7FFE7E1F"/>
    <w:rsid w:val="7FFE9A23"/>
    <w:rsid w:val="7FFF04A8"/>
    <w:rsid w:val="7FFF0ABE"/>
    <w:rsid w:val="7FFF0EAE"/>
    <w:rsid w:val="7FFF1084"/>
    <w:rsid w:val="7FFF1738"/>
    <w:rsid w:val="7FFF2603"/>
    <w:rsid w:val="7FFF7A2D"/>
    <w:rsid w:val="7FFFAA06"/>
    <w:rsid w:val="7FFFB048"/>
    <w:rsid w:val="7FFFB5F1"/>
    <w:rsid w:val="7FFFBE74"/>
    <w:rsid w:val="7FFFE114"/>
    <w:rsid w:val="7FFFEF40"/>
    <w:rsid w:val="7FFFFE02"/>
    <w:rsid w:val="8AADCB97"/>
    <w:rsid w:val="8B936500"/>
    <w:rsid w:val="8B969C85"/>
    <w:rsid w:val="8FBB7B9B"/>
    <w:rsid w:val="8FFFA752"/>
    <w:rsid w:val="91FF5658"/>
    <w:rsid w:val="93DF4D82"/>
    <w:rsid w:val="95FE1B27"/>
    <w:rsid w:val="967F96F9"/>
    <w:rsid w:val="96C662AF"/>
    <w:rsid w:val="96FF52F6"/>
    <w:rsid w:val="98FA5AA2"/>
    <w:rsid w:val="99BED721"/>
    <w:rsid w:val="99E5E1DC"/>
    <w:rsid w:val="9AB7E553"/>
    <w:rsid w:val="9AFF70C0"/>
    <w:rsid w:val="9BC77A03"/>
    <w:rsid w:val="9BDAA30A"/>
    <w:rsid w:val="9BFFACA8"/>
    <w:rsid w:val="9D3F5C22"/>
    <w:rsid w:val="9D4B5CFF"/>
    <w:rsid w:val="9DDA3F34"/>
    <w:rsid w:val="9E7F7972"/>
    <w:rsid w:val="9ECFCB4E"/>
    <w:rsid w:val="9EDFCA20"/>
    <w:rsid w:val="9EFBF3EE"/>
    <w:rsid w:val="9EFF1377"/>
    <w:rsid w:val="9EFF273C"/>
    <w:rsid w:val="9F1B2C0B"/>
    <w:rsid w:val="9F268F53"/>
    <w:rsid w:val="9F55B753"/>
    <w:rsid w:val="9FCF8EBB"/>
    <w:rsid w:val="9FEF421E"/>
    <w:rsid w:val="9FF2335F"/>
    <w:rsid w:val="9FF57BF8"/>
    <w:rsid w:val="9FF60AD0"/>
    <w:rsid w:val="9FFE9689"/>
    <w:rsid w:val="9FFF19B2"/>
    <w:rsid w:val="9FFF23EC"/>
    <w:rsid w:val="A0774563"/>
    <w:rsid w:val="A377210B"/>
    <w:rsid w:val="A37FF045"/>
    <w:rsid w:val="A3E1626C"/>
    <w:rsid w:val="A3FE717B"/>
    <w:rsid w:val="A4FB19EE"/>
    <w:rsid w:val="A7D30944"/>
    <w:rsid w:val="A7F70E55"/>
    <w:rsid w:val="A7F7288F"/>
    <w:rsid w:val="A7FBE99F"/>
    <w:rsid w:val="A7FE3B74"/>
    <w:rsid w:val="A7FFBB76"/>
    <w:rsid w:val="A9F7DAB4"/>
    <w:rsid w:val="AACFCAFE"/>
    <w:rsid w:val="AB3E5ED1"/>
    <w:rsid w:val="ABD79DD8"/>
    <w:rsid w:val="ABFB121A"/>
    <w:rsid w:val="ACED5F0C"/>
    <w:rsid w:val="ADBE2DE4"/>
    <w:rsid w:val="ADD33E59"/>
    <w:rsid w:val="ADF55FD5"/>
    <w:rsid w:val="ADF7789A"/>
    <w:rsid w:val="ADF7B7A9"/>
    <w:rsid w:val="ADFEF7ED"/>
    <w:rsid w:val="AE97AF8E"/>
    <w:rsid w:val="AEADB1E0"/>
    <w:rsid w:val="AEF99F8F"/>
    <w:rsid w:val="AEFA7308"/>
    <w:rsid w:val="AEFE5C33"/>
    <w:rsid w:val="AF6B398D"/>
    <w:rsid w:val="AF7C5E15"/>
    <w:rsid w:val="AF8FD3E1"/>
    <w:rsid w:val="AFF93F87"/>
    <w:rsid w:val="AFFBFA84"/>
    <w:rsid w:val="AFFEA2B9"/>
    <w:rsid w:val="AFFEF08D"/>
    <w:rsid w:val="AFFF8F4E"/>
    <w:rsid w:val="B175C616"/>
    <w:rsid w:val="B18CB91E"/>
    <w:rsid w:val="B2FF1EB9"/>
    <w:rsid w:val="B335F92D"/>
    <w:rsid w:val="B37B31EA"/>
    <w:rsid w:val="B3DF13D1"/>
    <w:rsid w:val="B58F5542"/>
    <w:rsid w:val="B5CFD045"/>
    <w:rsid w:val="B5ED2309"/>
    <w:rsid w:val="B5FF85BB"/>
    <w:rsid w:val="B69EF2D1"/>
    <w:rsid w:val="B6FDFD47"/>
    <w:rsid w:val="B76BC3A6"/>
    <w:rsid w:val="B7CFEF29"/>
    <w:rsid w:val="B7EB2071"/>
    <w:rsid w:val="B7EF66A9"/>
    <w:rsid w:val="B7F6287C"/>
    <w:rsid w:val="B7FD4158"/>
    <w:rsid w:val="B7FF7113"/>
    <w:rsid w:val="B8CF2328"/>
    <w:rsid w:val="B8FAB0E0"/>
    <w:rsid w:val="B9EF6F3C"/>
    <w:rsid w:val="B9EFF865"/>
    <w:rsid w:val="B9FD8E80"/>
    <w:rsid w:val="B9FF4B4E"/>
    <w:rsid w:val="BA06F5C2"/>
    <w:rsid w:val="BA3BF19C"/>
    <w:rsid w:val="BA6E321F"/>
    <w:rsid w:val="BA7B23C6"/>
    <w:rsid w:val="BABF7782"/>
    <w:rsid w:val="BAFB4E64"/>
    <w:rsid w:val="BAFB9D3D"/>
    <w:rsid w:val="BAFE2619"/>
    <w:rsid w:val="BB5EFDD1"/>
    <w:rsid w:val="BB671613"/>
    <w:rsid w:val="BB6B6F66"/>
    <w:rsid w:val="BB6E21D1"/>
    <w:rsid w:val="BBB5B89C"/>
    <w:rsid w:val="BBBB3615"/>
    <w:rsid w:val="BBC90359"/>
    <w:rsid w:val="BBD99429"/>
    <w:rsid w:val="BBF3F174"/>
    <w:rsid w:val="BBF7F80F"/>
    <w:rsid w:val="BBFADBC9"/>
    <w:rsid w:val="BBFB3715"/>
    <w:rsid w:val="BC6FA7E7"/>
    <w:rsid w:val="BCBE9E85"/>
    <w:rsid w:val="BCCFA4C7"/>
    <w:rsid w:val="BCD6260C"/>
    <w:rsid w:val="BCFDBA8C"/>
    <w:rsid w:val="BD1C171F"/>
    <w:rsid w:val="BD1F698A"/>
    <w:rsid w:val="BD37233F"/>
    <w:rsid w:val="BD7F0B5C"/>
    <w:rsid w:val="BDBF3737"/>
    <w:rsid w:val="BDBFDE59"/>
    <w:rsid w:val="BDDD400A"/>
    <w:rsid w:val="BDDFF5DD"/>
    <w:rsid w:val="BDFE0C3A"/>
    <w:rsid w:val="BDFE3052"/>
    <w:rsid w:val="BDFF1BBD"/>
    <w:rsid w:val="BE7B1E99"/>
    <w:rsid w:val="BE7C373B"/>
    <w:rsid w:val="BEAEDFB2"/>
    <w:rsid w:val="BECFD2E2"/>
    <w:rsid w:val="BED9ED7E"/>
    <w:rsid w:val="BF2545EE"/>
    <w:rsid w:val="BF27D65A"/>
    <w:rsid w:val="BF3B8560"/>
    <w:rsid w:val="BF3CD60D"/>
    <w:rsid w:val="BF5D4CB4"/>
    <w:rsid w:val="BF66E2BB"/>
    <w:rsid w:val="BF6FB769"/>
    <w:rsid w:val="BF7717ED"/>
    <w:rsid w:val="BF77457E"/>
    <w:rsid w:val="BF7F4C9C"/>
    <w:rsid w:val="BF7F772A"/>
    <w:rsid w:val="BF7FAAFD"/>
    <w:rsid w:val="BF8AD1C4"/>
    <w:rsid w:val="BF8B3612"/>
    <w:rsid w:val="BF979D8B"/>
    <w:rsid w:val="BFAF363E"/>
    <w:rsid w:val="BFBAB5E0"/>
    <w:rsid w:val="BFBB7EFB"/>
    <w:rsid w:val="BFBFFC2E"/>
    <w:rsid w:val="BFDB0F93"/>
    <w:rsid w:val="BFE2EBFC"/>
    <w:rsid w:val="BFE72223"/>
    <w:rsid w:val="BFED398F"/>
    <w:rsid w:val="BFED438E"/>
    <w:rsid w:val="BFEFA1D9"/>
    <w:rsid w:val="BFF4805E"/>
    <w:rsid w:val="BFF69F29"/>
    <w:rsid w:val="BFF7A4DC"/>
    <w:rsid w:val="BFF7E981"/>
    <w:rsid w:val="BFFA4875"/>
    <w:rsid w:val="BFFC768F"/>
    <w:rsid w:val="BFFE2B8B"/>
    <w:rsid w:val="BFFE6A20"/>
    <w:rsid w:val="BFFE8E34"/>
    <w:rsid w:val="BFFF202A"/>
    <w:rsid w:val="BFFFBFFE"/>
    <w:rsid w:val="BFFFD72F"/>
    <w:rsid w:val="C0EB2EB6"/>
    <w:rsid w:val="C27FEC75"/>
    <w:rsid w:val="C35F2895"/>
    <w:rsid w:val="C69333FB"/>
    <w:rsid w:val="C7D397B5"/>
    <w:rsid w:val="C7EF46AC"/>
    <w:rsid w:val="C7FFE362"/>
    <w:rsid w:val="C8DE5F75"/>
    <w:rsid w:val="C9D9EE9F"/>
    <w:rsid w:val="CAEF76C9"/>
    <w:rsid w:val="CBF6A1C8"/>
    <w:rsid w:val="CCFF69D7"/>
    <w:rsid w:val="CD2E8336"/>
    <w:rsid w:val="CDAF9825"/>
    <w:rsid w:val="CDB96DFC"/>
    <w:rsid w:val="CE756AF2"/>
    <w:rsid w:val="CEBD5249"/>
    <w:rsid w:val="CEDF3954"/>
    <w:rsid w:val="CF175B90"/>
    <w:rsid w:val="CF5D1197"/>
    <w:rsid w:val="CFB6ACF1"/>
    <w:rsid w:val="CFB7EE5B"/>
    <w:rsid w:val="CFBF97C4"/>
    <w:rsid w:val="CFC5E23A"/>
    <w:rsid w:val="CFE77007"/>
    <w:rsid w:val="CFEA6E7D"/>
    <w:rsid w:val="CFF09082"/>
    <w:rsid w:val="CFF64507"/>
    <w:rsid w:val="CFFF7263"/>
    <w:rsid w:val="CFFFF328"/>
    <w:rsid w:val="CFFFF3B1"/>
    <w:rsid w:val="D2662A7A"/>
    <w:rsid w:val="D35F1E3F"/>
    <w:rsid w:val="D3737BEA"/>
    <w:rsid w:val="D3A9FC3B"/>
    <w:rsid w:val="D3D7FE29"/>
    <w:rsid w:val="D3E3EE83"/>
    <w:rsid w:val="D3F43051"/>
    <w:rsid w:val="D44E4FA4"/>
    <w:rsid w:val="D57766FD"/>
    <w:rsid w:val="D5DFC15C"/>
    <w:rsid w:val="D5F7D95C"/>
    <w:rsid w:val="D5FFD7A1"/>
    <w:rsid w:val="D64DCE96"/>
    <w:rsid w:val="D657A6B8"/>
    <w:rsid w:val="D6DB2CE3"/>
    <w:rsid w:val="D6F8A0D4"/>
    <w:rsid w:val="D71B9264"/>
    <w:rsid w:val="D77CE78C"/>
    <w:rsid w:val="D7A0C42F"/>
    <w:rsid w:val="D7DBED33"/>
    <w:rsid w:val="D7EF78DD"/>
    <w:rsid w:val="D7F3AB9A"/>
    <w:rsid w:val="D7F7263A"/>
    <w:rsid w:val="D7F7CC69"/>
    <w:rsid w:val="D7FB4070"/>
    <w:rsid w:val="D7FD10F6"/>
    <w:rsid w:val="D7FF1C28"/>
    <w:rsid w:val="D7FFEF40"/>
    <w:rsid w:val="D9CB9CFA"/>
    <w:rsid w:val="D9F78935"/>
    <w:rsid w:val="D9FE0020"/>
    <w:rsid w:val="DA3C18F4"/>
    <w:rsid w:val="DAF72310"/>
    <w:rsid w:val="DAFE85C7"/>
    <w:rsid w:val="DB3F0398"/>
    <w:rsid w:val="DB7E9313"/>
    <w:rsid w:val="DB7F20E7"/>
    <w:rsid w:val="DB8F5551"/>
    <w:rsid w:val="DB956909"/>
    <w:rsid w:val="DB9B0274"/>
    <w:rsid w:val="DBB8871F"/>
    <w:rsid w:val="DBBF1AB6"/>
    <w:rsid w:val="DBD757B3"/>
    <w:rsid w:val="DBE8441C"/>
    <w:rsid w:val="DBF5DE56"/>
    <w:rsid w:val="DBFF68E7"/>
    <w:rsid w:val="DC57E874"/>
    <w:rsid w:val="DC5F69F3"/>
    <w:rsid w:val="DCAFB51B"/>
    <w:rsid w:val="DCFF5B7B"/>
    <w:rsid w:val="DD3BC943"/>
    <w:rsid w:val="DD7EBFD7"/>
    <w:rsid w:val="DD8EAC2E"/>
    <w:rsid w:val="DD9D53D5"/>
    <w:rsid w:val="DDBF40C9"/>
    <w:rsid w:val="DDC74FB8"/>
    <w:rsid w:val="DDF738D6"/>
    <w:rsid w:val="DDF78824"/>
    <w:rsid w:val="DDFD98F7"/>
    <w:rsid w:val="DDFE87F9"/>
    <w:rsid w:val="DDFFCF63"/>
    <w:rsid w:val="DE3EB0F9"/>
    <w:rsid w:val="DE8AA492"/>
    <w:rsid w:val="DEBBD036"/>
    <w:rsid w:val="DEBE4203"/>
    <w:rsid w:val="DED92803"/>
    <w:rsid w:val="DEEDA0D7"/>
    <w:rsid w:val="DEF2DA72"/>
    <w:rsid w:val="DEFAC2DB"/>
    <w:rsid w:val="DEFD4D73"/>
    <w:rsid w:val="DEFF44DF"/>
    <w:rsid w:val="DF2F3D6B"/>
    <w:rsid w:val="DF2F60DB"/>
    <w:rsid w:val="DF34A0C7"/>
    <w:rsid w:val="DF5F5BC6"/>
    <w:rsid w:val="DF7BC4E9"/>
    <w:rsid w:val="DF7D7EAC"/>
    <w:rsid w:val="DF9B47DE"/>
    <w:rsid w:val="DFA37711"/>
    <w:rsid w:val="DFB7B3FD"/>
    <w:rsid w:val="DFBFD253"/>
    <w:rsid w:val="DFD47032"/>
    <w:rsid w:val="DFD5C412"/>
    <w:rsid w:val="DFDB8B4E"/>
    <w:rsid w:val="DFDFBC50"/>
    <w:rsid w:val="DFE380F7"/>
    <w:rsid w:val="DFEE663F"/>
    <w:rsid w:val="DFEFD79F"/>
    <w:rsid w:val="DFF5DB46"/>
    <w:rsid w:val="DFF7D1F1"/>
    <w:rsid w:val="DFF7E9E8"/>
    <w:rsid w:val="DFFD734F"/>
    <w:rsid w:val="DFFD8E02"/>
    <w:rsid w:val="DFFF6258"/>
    <w:rsid w:val="DFFF6D4F"/>
    <w:rsid w:val="E1B53D09"/>
    <w:rsid w:val="E1B9EE62"/>
    <w:rsid w:val="E22EB56C"/>
    <w:rsid w:val="E2A61355"/>
    <w:rsid w:val="E3BD0ED0"/>
    <w:rsid w:val="E3BFAC3D"/>
    <w:rsid w:val="E3DD016E"/>
    <w:rsid w:val="E5646D73"/>
    <w:rsid w:val="E5AD2CB6"/>
    <w:rsid w:val="E65F6FB6"/>
    <w:rsid w:val="E6FAA599"/>
    <w:rsid w:val="E73772CB"/>
    <w:rsid w:val="E75EF740"/>
    <w:rsid w:val="E75F6A2D"/>
    <w:rsid w:val="E76FC498"/>
    <w:rsid w:val="E7774B36"/>
    <w:rsid w:val="E777721C"/>
    <w:rsid w:val="E77FB345"/>
    <w:rsid w:val="E7AD462B"/>
    <w:rsid w:val="E7B4F2CD"/>
    <w:rsid w:val="E7BCFD01"/>
    <w:rsid w:val="E7BF27CD"/>
    <w:rsid w:val="E7CEE87E"/>
    <w:rsid w:val="E7D23523"/>
    <w:rsid w:val="E7E483E0"/>
    <w:rsid w:val="E7FE0F5D"/>
    <w:rsid w:val="E7FF5D8C"/>
    <w:rsid w:val="E8EF14D0"/>
    <w:rsid w:val="E9DF61E9"/>
    <w:rsid w:val="E9F71EFB"/>
    <w:rsid w:val="EADFB5AB"/>
    <w:rsid w:val="EAE386A2"/>
    <w:rsid w:val="EAF8CFC3"/>
    <w:rsid w:val="EB0E3937"/>
    <w:rsid w:val="EB1D3656"/>
    <w:rsid w:val="EB992972"/>
    <w:rsid w:val="EB9EFEAB"/>
    <w:rsid w:val="EBBFA1BC"/>
    <w:rsid w:val="EBCB7459"/>
    <w:rsid w:val="EBDFAE21"/>
    <w:rsid w:val="EBE9C5EA"/>
    <w:rsid w:val="EBEEAF9D"/>
    <w:rsid w:val="EBF5BA3A"/>
    <w:rsid w:val="EBFABA5E"/>
    <w:rsid w:val="EBFDCBF9"/>
    <w:rsid w:val="EC8ACB80"/>
    <w:rsid w:val="ECEF15EE"/>
    <w:rsid w:val="ECFE589D"/>
    <w:rsid w:val="ED63B4D5"/>
    <w:rsid w:val="ED79076C"/>
    <w:rsid w:val="EDBF6110"/>
    <w:rsid w:val="EDDA7182"/>
    <w:rsid w:val="EDDF1D0D"/>
    <w:rsid w:val="EDF2A91B"/>
    <w:rsid w:val="EDFF39B0"/>
    <w:rsid w:val="EDFF59B5"/>
    <w:rsid w:val="EDFF819B"/>
    <w:rsid w:val="EE672BA2"/>
    <w:rsid w:val="EE679637"/>
    <w:rsid w:val="EE77098F"/>
    <w:rsid w:val="EE7B77FC"/>
    <w:rsid w:val="EEADF830"/>
    <w:rsid w:val="EED3C088"/>
    <w:rsid w:val="EED4E5BB"/>
    <w:rsid w:val="EED83F7B"/>
    <w:rsid w:val="EEE7B099"/>
    <w:rsid w:val="EEED3B22"/>
    <w:rsid w:val="EEFECBB5"/>
    <w:rsid w:val="EF5E9F8B"/>
    <w:rsid w:val="EF6FAC09"/>
    <w:rsid w:val="EF7DD96F"/>
    <w:rsid w:val="EF7F3177"/>
    <w:rsid w:val="EF7FB168"/>
    <w:rsid w:val="EF9E3AF2"/>
    <w:rsid w:val="EF9E3F7D"/>
    <w:rsid w:val="EF9E445A"/>
    <w:rsid w:val="EFAC3B29"/>
    <w:rsid w:val="EFB3C339"/>
    <w:rsid w:val="EFB526E0"/>
    <w:rsid w:val="EFBF6528"/>
    <w:rsid w:val="EFBFC151"/>
    <w:rsid w:val="EFCF424E"/>
    <w:rsid w:val="EFD3980D"/>
    <w:rsid w:val="EFDD098C"/>
    <w:rsid w:val="EFDD3DCA"/>
    <w:rsid w:val="EFDF0D6D"/>
    <w:rsid w:val="EFDF81F1"/>
    <w:rsid w:val="EFE7A108"/>
    <w:rsid w:val="EFE7D46B"/>
    <w:rsid w:val="EFE9C9FD"/>
    <w:rsid w:val="EFEE9F64"/>
    <w:rsid w:val="EFF3430D"/>
    <w:rsid w:val="EFF6AA1E"/>
    <w:rsid w:val="EFF77E7E"/>
    <w:rsid w:val="EFFB5E0D"/>
    <w:rsid w:val="EFFD27AC"/>
    <w:rsid w:val="EFFE1668"/>
    <w:rsid w:val="EFFFF7E2"/>
    <w:rsid w:val="F0BFEFBE"/>
    <w:rsid w:val="F16F6553"/>
    <w:rsid w:val="F1A74E28"/>
    <w:rsid w:val="F1FF04CC"/>
    <w:rsid w:val="F26F8A52"/>
    <w:rsid w:val="F2B88CE6"/>
    <w:rsid w:val="F2F96A1F"/>
    <w:rsid w:val="F3321DC0"/>
    <w:rsid w:val="F366F17F"/>
    <w:rsid w:val="F37716CA"/>
    <w:rsid w:val="F37F957E"/>
    <w:rsid w:val="F3AE2A22"/>
    <w:rsid w:val="F3C793AC"/>
    <w:rsid w:val="F3CF1D07"/>
    <w:rsid w:val="F3CF64F4"/>
    <w:rsid w:val="F3D4CD0A"/>
    <w:rsid w:val="F3DB2363"/>
    <w:rsid w:val="F3DBF9E0"/>
    <w:rsid w:val="F3F3E26E"/>
    <w:rsid w:val="F3F9BAB7"/>
    <w:rsid w:val="F3FC0FE1"/>
    <w:rsid w:val="F3FCF1FB"/>
    <w:rsid w:val="F47B9785"/>
    <w:rsid w:val="F4DB772E"/>
    <w:rsid w:val="F4EAFFF8"/>
    <w:rsid w:val="F4FEDA20"/>
    <w:rsid w:val="F5730B99"/>
    <w:rsid w:val="F57C6D71"/>
    <w:rsid w:val="F5BFBF9C"/>
    <w:rsid w:val="F5C7B885"/>
    <w:rsid w:val="F5CFCAFA"/>
    <w:rsid w:val="F5DD2DD1"/>
    <w:rsid w:val="F5FC6D74"/>
    <w:rsid w:val="F5FF33BE"/>
    <w:rsid w:val="F5FF44CE"/>
    <w:rsid w:val="F63BE968"/>
    <w:rsid w:val="F6596325"/>
    <w:rsid w:val="F66EFF1B"/>
    <w:rsid w:val="F6BFB1FB"/>
    <w:rsid w:val="F6D7391A"/>
    <w:rsid w:val="F6DD05C1"/>
    <w:rsid w:val="F6DFB51B"/>
    <w:rsid w:val="F6EB72EC"/>
    <w:rsid w:val="F6EE579F"/>
    <w:rsid w:val="F6F25D3C"/>
    <w:rsid w:val="F6F7154C"/>
    <w:rsid w:val="F6FDEDBA"/>
    <w:rsid w:val="F6FF0A14"/>
    <w:rsid w:val="F6FF1C95"/>
    <w:rsid w:val="F6FF30ED"/>
    <w:rsid w:val="F72F1FE5"/>
    <w:rsid w:val="F72FEAB5"/>
    <w:rsid w:val="F7354929"/>
    <w:rsid w:val="F73A497C"/>
    <w:rsid w:val="F73F6FF3"/>
    <w:rsid w:val="F7677C4B"/>
    <w:rsid w:val="F76BB894"/>
    <w:rsid w:val="F76E094B"/>
    <w:rsid w:val="F777396C"/>
    <w:rsid w:val="F77FE68D"/>
    <w:rsid w:val="F796F30F"/>
    <w:rsid w:val="F79F64A5"/>
    <w:rsid w:val="F79FCCF8"/>
    <w:rsid w:val="F7AF6F92"/>
    <w:rsid w:val="F7B75E8D"/>
    <w:rsid w:val="F7BC6117"/>
    <w:rsid w:val="F7BEE7C4"/>
    <w:rsid w:val="F7BF79A8"/>
    <w:rsid w:val="F7CF46D9"/>
    <w:rsid w:val="F7CFC528"/>
    <w:rsid w:val="F7D38D0C"/>
    <w:rsid w:val="F7DE9DAD"/>
    <w:rsid w:val="F7DF4A25"/>
    <w:rsid w:val="F7EFF7D5"/>
    <w:rsid w:val="F7F374A1"/>
    <w:rsid w:val="F7F962A3"/>
    <w:rsid w:val="F7FAF95A"/>
    <w:rsid w:val="F7FD17AB"/>
    <w:rsid w:val="F7FDB2A5"/>
    <w:rsid w:val="F7FF02C4"/>
    <w:rsid w:val="F7FF1036"/>
    <w:rsid w:val="F7FF1342"/>
    <w:rsid w:val="F7FF6CBE"/>
    <w:rsid w:val="F7FF7782"/>
    <w:rsid w:val="F7FF8785"/>
    <w:rsid w:val="F7FFB5D7"/>
    <w:rsid w:val="F7FFF21D"/>
    <w:rsid w:val="F8DF415A"/>
    <w:rsid w:val="F8E96250"/>
    <w:rsid w:val="F8FA79E7"/>
    <w:rsid w:val="F9773E38"/>
    <w:rsid w:val="F97B8A2E"/>
    <w:rsid w:val="F9BF1E8E"/>
    <w:rsid w:val="F9DF19C2"/>
    <w:rsid w:val="F9FF0EFA"/>
    <w:rsid w:val="F9FF2334"/>
    <w:rsid w:val="F9FF5B42"/>
    <w:rsid w:val="F9FF8421"/>
    <w:rsid w:val="FA5BEFBA"/>
    <w:rsid w:val="FA6B4D18"/>
    <w:rsid w:val="FA6BD223"/>
    <w:rsid w:val="FA713406"/>
    <w:rsid w:val="FA7FA45A"/>
    <w:rsid w:val="FA9FE32D"/>
    <w:rsid w:val="FAB78927"/>
    <w:rsid w:val="FAC54CE4"/>
    <w:rsid w:val="FAC76E13"/>
    <w:rsid w:val="FADE47C9"/>
    <w:rsid w:val="FAF66EFA"/>
    <w:rsid w:val="FAF7505F"/>
    <w:rsid w:val="FAFD589E"/>
    <w:rsid w:val="FAFDA775"/>
    <w:rsid w:val="FAFE705B"/>
    <w:rsid w:val="FB1FA7AC"/>
    <w:rsid w:val="FB2631C4"/>
    <w:rsid w:val="FB2C16A1"/>
    <w:rsid w:val="FB2F90A1"/>
    <w:rsid w:val="FB37C11B"/>
    <w:rsid w:val="FB3BD7B7"/>
    <w:rsid w:val="FB3EF314"/>
    <w:rsid w:val="FB4E6897"/>
    <w:rsid w:val="FB52B965"/>
    <w:rsid w:val="FB6E079A"/>
    <w:rsid w:val="FB7E255A"/>
    <w:rsid w:val="FB7F29FD"/>
    <w:rsid w:val="FB7F4A9B"/>
    <w:rsid w:val="FB7FBF06"/>
    <w:rsid w:val="FBBBCF73"/>
    <w:rsid w:val="FBBF0130"/>
    <w:rsid w:val="FBBF3F00"/>
    <w:rsid w:val="FBBFE1B2"/>
    <w:rsid w:val="FBC58DDD"/>
    <w:rsid w:val="FBD7D084"/>
    <w:rsid w:val="FBDB69BF"/>
    <w:rsid w:val="FBDBB8D0"/>
    <w:rsid w:val="FBDD97B2"/>
    <w:rsid w:val="FBDF443B"/>
    <w:rsid w:val="FBDF73B4"/>
    <w:rsid w:val="FBECDDF6"/>
    <w:rsid w:val="FBEE1BFC"/>
    <w:rsid w:val="FBEF1B15"/>
    <w:rsid w:val="FBF56538"/>
    <w:rsid w:val="FBF6BEDC"/>
    <w:rsid w:val="FBFC9E4B"/>
    <w:rsid w:val="FBFD9A26"/>
    <w:rsid w:val="FBFDAE44"/>
    <w:rsid w:val="FBFDF50D"/>
    <w:rsid w:val="FBFE2BC9"/>
    <w:rsid w:val="FBFF2DC7"/>
    <w:rsid w:val="FBFFFC1B"/>
    <w:rsid w:val="FC47AACB"/>
    <w:rsid w:val="FC7D8487"/>
    <w:rsid w:val="FC7F3CEE"/>
    <w:rsid w:val="FCB6A8F6"/>
    <w:rsid w:val="FCBF7211"/>
    <w:rsid w:val="FCF73513"/>
    <w:rsid w:val="FCF920AE"/>
    <w:rsid w:val="FCFD9C0A"/>
    <w:rsid w:val="FCFFF108"/>
    <w:rsid w:val="FD17C04B"/>
    <w:rsid w:val="FD37C53F"/>
    <w:rsid w:val="FD3E6869"/>
    <w:rsid w:val="FD5C74BE"/>
    <w:rsid w:val="FD63A45E"/>
    <w:rsid w:val="FD6B21D7"/>
    <w:rsid w:val="FD75AF4D"/>
    <w:rsid w:val="FD7C440D"/>
    <w:rsid w:val="FD7FF251"/>
    <w:rsid w:val="FDB7E755"/>
    <w:rsid w:val="FDBB4B4C"/>
    <w:rsid w:val="FDBDCA1C"/>
    <w:rsid w:val="FDBDEC1E"/>
    <w:rsid w:val="FDBF1E9B"/>
    <w:rsid w:val="FDCBE70B"/>
    <w:rsid w:val="FDCE0EAC"/>
    <w:rsid w:val="FDCF79AD"/>
    <w:rsid w:val="FDCFD193"/>
    <w:rsid w:val="FDDF577F"/>
    <w:rsid w:val="FDEB0CEE"/>
    <w:rsid w:val="FDEE2CF7"/>
    <w:rsid w:val="FDEEA454"/>
    <w:rsid w:val="FDEEB9B4"/>
    <w:rsid w:val="FDEEC266"/>
    <w:rsid w:val="FDF5E76E"/>
    <w:rsid w:val="FDF6ADA1"/>
    <w:rsid w:val="FDFB5319"/>
    <w:rsid w:val="FDFD11E4"/>
    <w:rsid w:val="FDFD96A0"/>
    <w:rsid w:val="FDFF110F"/>
    <w:rsid w:val="FDFF5FEA"/>
    <w:rsid w:val="FDFFAB7F"/>
    <w:rsid w:val="FDFFE497"/>
    <w:rsid w:val="FE5E40FA"/>
    <w:rsid w:val="FE5E61AB"/>
    <w:rsid w:val="FE69DFE6"/>
    <w:rsid w:val="FE734873"/>
    <w:rsid w:val="FE757EE4"/>
    <w:rsid w:val="FE7DD5F8"/>
    <w:rsid w:val="FE8BA4FF"/>
    <w:rsid w:val="FE9F7EA9"/>
    <w:rsid w:val="FEB50340"/>
    <w:rsid w:val="FEBAC91F"/>
    <w:rsid w:val="FEBF572A"/>
    <w:rsid w:val="FEBFEECC"/>
    <w:rsid w:val="FECF79D9"/>
    <w:rsid w:val="FED1F61B"/>
    <w:rsid w:val="FED31792"/>
    <w:rsid w:val="FEDD3735"/>
    <w:rsid w:val="FEDF021C"/>
    <w:rsid w:val="FEDFF809"/>
    <w:rsid w:val="FEEBA87D"/>
    <w:rsid w:val="FEEE7A12"/>
    <w:rsid w:val="FEF2367F"/>
    <w:rsid w:val="FEF303FE"/>
    <w:rsid w:val="FEF69F10"/>
    <w:rsid w:val="FEF9303A"/>
    <w:rsid w:val="FEFB8AE1"/>
    <w:rsid w:val="FEFBACE9"/>
    <w:rsid w:val="FEFBDBD6"/>
    <w:rsid w:val="FEFECCA1"/>
    <w:rsid w:val="FEFF07C6"/>
    <w:rsid w:val="FEFF97FF"/>
    <w:rsid w:val="FEFFA922"/>
    <w:rsid w:val="FEFFB702"/>
    <w:rsid w:val="FEFFD7D1"/>
    <w:rsid w:val="FF15AF98"/>
    <w:rsid w:val="FF1F43AD"/>
    <w:rsid w:val="FF279C5F"/>
    <w:rsid w:val="FF3FE361"/>
    <w:rsid w:val="FF4F60E3"/>
    <w:rsid w:val="FF5A1322"/>
    <w:rsid w:val="FF5C5639"/>
    <w:rsid w:val="FF736AD0"/>
    <w:rsid w:val="FF776707"/>
    <w:rsid w:val="FF776B47"/>
    <w:rsid w:val="FF7A1AE0"/>
    <w:rsid w:val="FF7A4ED5"/>
    <w:rsid w:val="FF7B8E80"/>
    <w:rsid w:val="FF7DBDE7"/>
    <w:rsid w:val="FF7F0767"/>
    <w:rsid w:val="FF7F9CCD"/>
    <w:rsid w:val="FF7FEE03"/>
    <w:rsid w:val="FF82D176"/>
    <w:rsid w:val="FF8FB787"/>
    <w:rsid w:val="FF9786EB"/>
    <w:rsid w:val="FFB56272"/>
    <w:rsid w:val="FFBC894C"/>
    <w:rsid w:val="FFBCA3EB"/>
    <w:rsid w:val="FFBD05BC"/>
    <w:rsid w:val="FFBD302D"/>
    <w:rsid w:val="FFBEFD07"/>
    <w:rsid w:val="FFBF1B29"/>
    <w:rsid w:val="FFBF3BA6"/>
    <w:rsid w:val="FFBF8F3F"/>
    <w:rsid w:val="FFBFDA27"/>
    <w:rsid w:val="FFCCF1FF"/>
    <w:rsid w:val="FFD35970"/>
    <w:rsid w:val="FFD71DB9"/>
    <w:rsid w:val="FFD9053F"/>
    <w:rsid w:val="FFDA715A"/>
    <w:rsid w:val="FFDBAB11"/>
    <w:rsid w:val="FFDF0BE4"/>
    <w:rsid w:val="FFDF9D0C"/>
    <w:rsid w:val="FFDFA87D"/>
    <w:rsid w:val="FFE5735E"/>
    <w:rsid w:val="FFE725A6"/>
    <w:rsid w:val="FFE7FA96"/>
    <w:rsid w:val="FFEA4BEC"/>
    <w:rsid w:val="FFEB23AB"/>
    <w:rsid w:val="FFEB5991"/>
    <w:rsid w:val="FFEDD440"/>
    <w:rsid w:val="FFEED791"/>
    <w:rsid w:val="FFEF2ACA"/>
    <w:rsid w:val="FFEF3DC0"/>
    <w:rsid w:val="FFEF4021"/>
    <w:rsid w:val="FFF31EC0"/>
    <w:rsid w:val="FFF4EC95"/>
    <w:rsid w:val="FFF6EDAC"/>
    <w:rsid w:val="FFF716F0"/>
    <w:rsid w:val="FFF7A23F"/>
    <w:rsid w:val="FFF7E8EE"/>
    <w:rsid w:val="FFFA7B94"/>
    <w:rsid w:val="FFFB1B47"/>
    <w:rsid w:val="FFFB2178"/>
    <w:rsid w:val="FFFB278F"/>
    <w:rsid w:val="FFFBD546"/>
    <w:rsid w:val="FFFBDE27"/>
    <w:rsid w:val="FFFD079D"/>
    <w:rsid w:val="FFFD7866"/>
    <w:rsid w:val="FFFD7F81"/>
    <w:rsid w:val="FFFD8B71"/>
    <w:rsid w:val="FFFE11C3"/>
    <w:rsid w:val="FFFE1507"/>
    <w:rsid w:val="FFFEB203"/>
    <w:rsid w:val="FFFEE6A9"/>
    <w:rsid w:val="FFFF421F"/>
    <w:rsid w:val="FFFF5635"/>
    <w:rsid w:val="FFFF8436"/>
    <w:rsid w:val="FFFFB94B"/>
    <w:rsid w:val="FFFFC08D"/>
    <w:rsid w:val="FFFFC3DE"/>
    <w:rsid w:val="FFFFCC0E"/>
    <w:rsid w:val="FFFFFD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3">
    <w:name w:val="heading 1"/>
    <w:basedOn w:val="1"/>
    <w:next w:val="1"/>
    <w:link w:val="21"/>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3"/>
    <w:unhideWhenUsed/>
    <w:qFormat/>
    <w:uiPriority w:val="9"/>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rPr>
      <w:rFonts w:ascii="Calibri" w:hAnsi="Calibri" w:eastAsia="文星仿宋" w:cs="Calibri"/>
      <w:kern w:val="0"/>
      <w:sz w:val="24"/>
    </w:rPr>
  </w:style>
  <w:style w:type="paragraph" w:styleId="6">
    <w:name w:val="index 5"/>
    <w:basedOn w:val="1"/>
    <w:next w:val="1"/>
    <w:qFormat/>
    <w:uiPriority w:val="0"/>
    <w:pPr>
      <w:ind w:left="1680"/>
    </w:pPr>
  </w:style>
  <w:style w:type="paragraph" w:styleId="7">
    <w:name w:val="annotation text"/>
    <w:basedOn w:val="1"/>
    <w:link w:val="24"/>
    <w:semiHidden/>
    <w:unhideWhenUsed/>
    <w:qFormat/>
    <w:uiPriority w:val="99"/>
    <w:pPr>
      <w:jc w:val="left"/>
    </w:pPr>
  </w:style>
  <w:style w:type="paragraph" w:styleId="8">
    <w:name w:val="Body Text Indent"/>
    <w:basedOn w:val="1"/>
    <w:next w:val="1"/>
    <w:qFormat/>
    <w:uiPriority w:val="0"/>
    <w:pPr>
      <w:ind w:left="420" w:leftChars="200"/>
    </w:pPr>
  </w:style>
  <w:style w:type="paragraph" w:styleId="9">
    <w:name w:val="Balloon Text"/>
    <w:basedOn w:val="1"/>
    <w:link w:val="26"/>
    <w:semiHidden/>
    <w:unhideWhenUsed/>
    <w:qFormat/>
    <w:uiPriority w:val="99"/>
    <w:rPr>
      <w:sz w:val="18"/>
      <w:szCs w:val="18"/>
    </w:rPr>
  </w:style>
  <w:style w:type="paragraph" w:styleId="10">
    <w:name w:val="footer"/>
    <w:basedOn w:val="1"/>
    <w:next w:val="6"/>
    <w:link w:val="28"/>
    <w:unhideWhenUsed/>
    <w:qFormat/>
    <w:uiPriority w:val="99"/>
    <w:pPr>
      <w:tabs>
        <w:tab w:val="center" w:pos="4153"/>
        <w:tab w:val="right" w:pos="8306"/>
      </w:tabs>
      <w:snapToGrid w:val="0"/>
      <w:jc w:val="left"/>
    </w:pPr>
    <w:rPr>
      <w:sz w:val="18"/>
      <w:szCs w:val="18"/>
    </w:rPr>
  </w:style>
  <w:style w:type="paragraph" w:styleId="11">
    <w:name w:val="header"/>
    <w:basedOn w:val="1"/>
    <w:link w:val="27"/>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spacing w:beforeAutospacing="1" w:afterAutospacing="1" w:line="278" w:lineRule="auto"/>
      <w:jc w:val="left"/>
    </w:pPr>
    <w:rPr>
      <w:rFonts w:cs="Times New Roman"/>
      <w:kern w:val="0"/>
      <w:sz w:val="24"/>
      <w:szCs w:val="24"/>
      <w14:ligatures w14:val="none"/>
    </w:rPr>
  </w:style>
  <w:style w:type="paragraph" w:styleId="13">
    <w:name w:val="annotation subject"/>
    <w:basedOn w:val="7"/>
    <w:next w:val="7"/>
    <w:link w:val="25"/>
    <w:semiHidden/>
    <w:unhideWhenUsed/>
    <w:qFormat/>
    <w:uiPriority w:val="99"/>
    <w:rPr>
      <w:b/>
      <w:bCs/>
    </w:rPr>
  </w:style>
  <w:style w:type="paragraph" w:styleId="14">
    <w:name w:val="Body Text First Indent 2"/>
    <w:basedOn w:val="8"/>
    <w:next w:val="2"/>
    <w:qFormat/>
    <w:uiPriority w:val="0"/>
    <w:pPr>
      <w:ind w:firstLine="420" w:firstLineChars="200"/>
    </w:p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Hyperlink"/>
    <w:basedOn w:val="17"/>
    <w:unhideWhenUsed/>
    <w:qFormat/>
    <w:uiPriority w:val="99"/>
    <w:rPr>
      <w:color w:val="467886" w:themeColor="hyperlink"/>
      <w:u w:val="single"/>
      <w14:textFill>
        <w14:solidFill>
          <w14:schemeClr w14:val="hlink"/>
        </w14:solidFill>
      </w14:textFill>
    </w:rPr>
  </w:style>
  <w:style w:type="character" w:styleId="19">
    <w:name w:val="annotation reference"/>
    <w:basedOn w:val="17"/>
    <w:semiHidden/>
    <w:unhideWhenUsed/>
    <w:qFormat/>
    <w:uiPriority w:val="99"/>
    <w:rPr>
      <w:sz w:val="21"/>
      <w:szCs w:val="21"/>
    </w:rPr>
  </w:style>
  <w:style w:type="character" w:customStyle="1" w:styleId="20">
    <w:name w:val="未处理的提及1"/>
    <w:basedOn w:val="17"/>
    <w:semiHidden/>
    <w:unhideWhenUsed/>
    <w:qFormat/>
    <w:uiPriority w:val="99"/>
    <w:rPr>
      <w:color w:val="605E5C"/>
      <w:shd w:val="clear" w:color="auto" w:fill="E1DFDD"/>
    </w:rPr>
  </w:style>
  <w:style w:type="character" w:customStyle="1" w:styleId="21">
    <w:name w:val="标题 1 字符"/>
    <w:basedOn w:val="17"/>
    <w:link w:val="3"/>
    <w:qFormat/>
    <w:uiPriority w:val="9"/>
    <w:rPr>
      <w:b/>
      <w:bCs/>
      <w:kern w:val="44"/>
      <w:sz w:val="44"/>
      <w:szCs w:val="44"/>
    </w:rPr>
  </w:style>
  <w:style w:type="character" w:customStyle="1" w:styleId="22">
    <w:name w:val="标题 2 字符"/>
    <w:basedOn w:val="17"/>
    <w:link w:val="4"/>
    <w:qFormat/>
    <w:uiPriority w:val="9"/>
    <w:rPr>
      <w:rFonts w:asciiTheme="majorHAnsi" w:hAnsiTheme="majorHAnsi" w:eastAsiaTheme="majorEastAsia" w:cstheme="majorBidi"/>
      <w:b/>
      <w:bCs/>
      <w:sz w:val="32"/>
      <w:szCs w:val="32"/>
    </w:rPr>
  </w:style>
  <w:style w:type="character" w:customStyle="1" w:styleId="23">
    <w:name w:val="标题 3 字符"/>
    <w:basedOn w:val="17"/>
    <w:link w:val="5"/>
    <w:qFormat/>
    <w:uiPriority w:val="9"/>
    <w:rPr>
      <w:b/>
      <w:bCs/>
      <w:sz w:val="32"/>
      <w:szCs w:val="32"/>
    </w:rPr>
  </w:style>
  <w:style w:type="character" w:customStyle="1" w:styleId="24">
    <w:name w:val="批注文字 字符"/>
    <w:basedOn w:val="17"/>
    <w:link w:val="7"/>
    <w:semiHidden/>
    <w:qFormat/>
    <w:uiPriority w:val="99"/>
  </w:style>
  <w:style w:type="character" w:customStyle="1" w:styleId="25">
    <w:name w:val="批注主题 字符"/>
    <w:basedOn w:val="24"/>
    <w:link w:val="13"/>
    <w:semiHidden/>
    <w:qFormat/>
    <w:uiPriority w:val="99"/>
    <w:rPr>
      <w:b/>
      <w:bCs/>
    </w:rPr>
  </w:style>
  <w:style w:type="character" w:customStyle="1" w:styleId="26">
    <w:name w:val="批注框文本 字符"/>
    <w:basedOn w:val="17"/>
    <w:link w:val="9"/>
    <w:semiHidden/>
    <w:qFormat/>
    <w:uiPriority w:val="99"/>
    <w:rPr>
      <w:sz w:val="18"/>
      <w:szCs w:val="18"/>
    </w:rPr>
  </w:style>
  <w:style w:type="character" w:customStyle="1" w:styleId="27">
    <w:name w:val="页眉 字符"/>
    <w:basedOn w:val="17"/>
    <w:link w:val="11"/>
    <w:qFormat/>
    <w:uiPriority w:val="99"/>
    <w:rPr>
      <w:sz w:val="18"/>
      <w:szCs w:val="18"/>
    </w:rPr>
  </w:style>
  <w:style w:type="character" w:customStyle="1" w:styleId="28">
    <w:name w:val="页脚 字符"/>
    <w:basedOn w:val="17"/>
    <w:link w:val="10"/>
    <w:qFormat/>
    <w:uiPriority w:val="99"/>
    <w:rPr>
      <w:sz w:val="18"/>
      <w:szCs w:val="18"/>
    </w:rPr>
  </w:style>
  <w:style w:type="paragraph" w:customStyle="1" w:styleId="29">
    <w:name w:val="修订1"/>
    <w:hidden/>
    <w:unhideWhenUsed/>
    <w:qFormat/>
    <w:uiPriority w:val="99"/>
    <w:rPr>
      <w:rFonts w:asciiTheme="minorHAnsi" w:hAnsiTheme="minorHAnsi" w:eastAsiaTheme="minorEastAsia" w:cstheme="minorBidi"/>
      <w:kern w:val="2"/>
      <w:sz w:val="21"/>
      <w:szCs w:val="22"/>
      <w:lang w:val="en-US" w:eastAsia="zh-CN" w:bidi="ar-SA"/>
      <w14:ligatures w14:val="standardContextual"/>
    </w:rPr>
  </w:style>
  <w:style w:type="paragraph" w:styleId="30">
    <w:name w:val="List Paragraph"/>
    <w:basedOn w:val="1"/>
    <w:unhideWhenUsed/>
    <w:qFormat/>
    <w:uiPriority w:val="99"/>
    <w:pPr>
      <w:ind w:firstLine="420" w:firstLineChars="200"/>
    </w:pPr>
  </w:style>
  <w:style w:type="paragraph" w:customStyle="1" w:styleId="31">
    <w:name w:val="默认段落字体 Para Char Char Char Char Char Char Char Char Char Char Char Char"/>
    <w:basedOn w:val="1"/>
    <w:qFormat/>
    <w:uiPriority w:val="0"/>
    <w:pPr>
      <w:tabs>
        <w:tab w:val="right" w:pos="-2120"/>
      </w:tabs>
      <w:adjustRightInd w:val="0"/>
      <w:snapToGrid w:val="0"/>
      <w:spacing w:line="312" w:lineRule="atLeast"/>
      <w:textAlignment w:val="baseline"/>
    </w:pPr>
    <w:rPr>
      <w:rFonts w:ascii="Calibri" w:hAnsi="Calibri" w:eastAsia="方正仿宋_GBK" w:cs="Times New Roman"/>
      <w:kern w:val="0"/>
      <w:sz w:val="32"/>
      <w:szCs w:val="24"/>
      <w14:ligatures w14:val="none"/>
    </w:rPr>
  </w:style>
  <w:style w:type="paragraph" w:customStyle="1" w:styleId="32">
    <w:name w:val="paragraph"/>
    <w:basedOn w:val="1"/>
    <w:semiHidden/>
    <w:qFormat/>
    <w:uiPriority w:val="0"/>
    <w:pPr>
      <w:widowControl/>
      <w:spacing w:before="100" w:beforeAutospacing="1" w:after="100" w:afterAutospacing="1"/>
      <w:jc w:val="left"/>
    </w:pPr>
    <w:rPr>
      <w:rFonts w:ascii="等线" w:hAnsi="等线" w:eastAsia="等线" w:cs="Times New Roman"/>
      <w:kern w:val="0"/>
      <w:sz w:val="24"/>
      <w:szCs w:val="24"/>
    </w:rPr>
  </w:style>
  <w:style w:type="paragraph" w:customStyle="1" w:styleId="33">
    <w:name w:val="修订2"/>
    <w:hidden/>
    <w:unhideWhenUsed/>
    <w:qFormat/>
    <w:uiPriority w:val="99"/>
    <w:rPr>
      <w:rFonts w:asciiTheme="minorHAnsi" w:hAnsiTheme="minorHAnsi" w:eastAsiaTheme="minorEastAsia" w:cstheme="minorBidi"/>
      <w:kern w:val="2"/>
      <w:sz w:val="21"/>
      <w:szCs w:val="22"/>
      <w:lang w:val="en-US" w:eastAsia="zh-CN" w:bidi="ar-SA"/>
      <w14:ligatures w14:val="standardContextual"/>
    </w:rPr>
  </w:style>
  <w:style w:type="paragraph" w:customStyle="1" w:styleId="34">
    <w:name w:val="Revision"/>
    <w:hidden/>
    <w:unhideWhenUsed/>
    <w:qFormat/>
    <w:uiPriority w:val="99"/>
    <w:rPr>
      <w:rFonts w:asciiTheme="minorHAnsi" w:hAnsiTheme="minorHAnsi" w:eastAsiaTheme="minorEastAsia" w:cstheme="minorBidi"/>
      <w:kern w:val="2"/>
      <w:sz w:val="21"/>
      <w:szCs w:val="22"/>
      <w:lang w:val="en-US" w:eastAsia="zh-CN" w:bidi="ar-SA"/>
      <w14:ligatures w14:val="standardContextual"/>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655</Words>
  <Characters>3738</Characters>
  <Lines>31</Lines>
  <Paragraphs>8</Paragraphs>
  <TotalTime>1</TotalTime>
  <ScaleCrop>false</ScaleCrop>
  <LinksUpToDate>false</LinksUpToDate>
  <CharactersWithSpaces>4385</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2025-09-23T16:59:00Z</dcterms:created>
  <dc:creator>属鼠的耗子 属鼠的耗子</dc:creator>
  <cp:lastModifiedBy>TjCDC</cp:lastModifiedBy>
  <cp:lastPrinted>2025-06-02T09:16:00Z</cp:lastPrinted>
  <dcterms:modified xsi:type="dcterms:W3CDTF">2025-11-17T11:28:13Z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52D74934A82D4656B70F5C5AAF052D11_12</vt:lpwstr>
  </property>
</Properties>
</file>