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8E32">
      <w:pPr>
        <w:ind w:firstLine="540" w:firstLineChars="200"/>
        <w:rPr>
          <w:rFonts w:asciiTheme="minorEastAsia" w:hAnsiTheme="minorEastAsia" w:cstheme="minorEastAsia"/>
          <w:color w:val="0000FF"/>
          <w:sz w:val="27"/>
          <w:szCs w:val="27"/>
          <w:shd w:val="clear" w:color="auto" w:fill="FFFFFF"/>
        </w:rPr>
      </w:pPr>
      <w:bookmarkStart w:id="0" w:name="_GoBack"/>
      <w:bookmarkEnd w:id="0"/>
      <w:r>
        <w:rPr>
          <w:rFonts w:hint="eastAsia" w:asciiTheme="minorEastAsia" w:hAnsiTheme="minorEastAsia" w:cstheme="minorEastAsia"/>
          <w:color w:val="000000"/>
          <w:sz w:val="27"/>
          <w:szCs w:val="27"/>
          <w:shd w:val="clear" w:color="auto" w:fill="FFFFFF"/>
        </w:rPr>
        <w:t>天津市儿童医院（天津大学儿童医院）是天津市唯一一家三级甲等综合性儿科医院，医院包括河西马场、北辰龙岩两个院区，马场院区占地5.5万平方米，设置床位521张。龙岩院区占地8.3万平方米，设置床位1200张。滨海展望院区将于2024年底前投入使用。</w:t>
      </w:r>
    </w:p>
    <w:p w14:paraId="4C0B1B83">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医院技术力量雄厚，全院高级专业技术人员近400人。拥有国务院特贴专家、天津市授衔专家、博硕士研究生导师、“131”人才等高层次人才队伍。医院为委省共建国家儿科区域医疗中心建设单位，国家卫生健康委重点专科—儿科—项目建设单位，中西医结合儿科入选国家中医药管理局中西医结合旗舰科室—建设项目，医院的重点学科—儿科学（100202）被授予天津市临床重点学科。天津市儿童出生缺陷防治重点实验室被认定为天津市重点实验室。</w:t>
      </w:r>
    </w:p>
    <w:p w14:paraId="1247BCD9">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医院先后获评全国首批“百姓放心医院”“全国医药卫生系统先进集体”“全国文明单位”“全国平安医院建设表现突出集体”“天津市三八红旗集体”“天津大学新冠肺炎疫情防控工作先进集体”“天津市五一劳动奖状”“天津市文明单位”“天津市第七届人民满意的好医院”等。</w:t>
      </w:r>
    </w:p>
    <w:p w14:paraId="3A90FF6D">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近年来医院获批成为“中国罕见病联盟天津协作组暨天津市罕见病幼长衔接医学联盟”“中国罕见病联盟天津协作组溶酶体贮积症工作组及天津市罕见病诊疗协作网溶酶体贮积症协作组”牵头单位。获批国家“首批CAAE二级癫痫中心”，检验科获得“中国合格评定国家认可委员会(CNAS)授予的实验室认可证书”。获批“国家临床合理用药示范基地”“国家首批住院医师规范化培训基地”“海峡两岸新生儿医学研究与培训（华北）基地”“天津市科普基地”“天津市儿童青少年糖尿病救治管理和培训基地”“天津市儿童急危重症救治和培训基地”“天津市儿科病理会诊及诊断基地”。获批国家级第一批儿科呼吸内镜诊疗技术培训合作单位，国家妇幼司授予医院第一批孤独症防治规范化建设项目示范单位，医院为遗传代谢病、功能性出生缺陷、先天性结构畸形三类出生缺陷疾病的定点实施机构，天津市罕见病关爱基金项目定点医院等。牵头成为天津市医学会罕见病分会、天津市医学会小儿外科分会、天津市医师协会儿童重症医师分会、天津市医师协会青春期医学专业委员会、天津市医师协会儿科医师分会、天津市健康教育协会儿科分会、天津市康复医学会儿童康复专业委员会、天津市康复医学会言语康复专业委员会、天津市中西医结合学会儿科专业委员会主委单位，以及天津市罕见病医疗质量控制中心、天津市儿内科医疗质量控制中心、天津市儿外科医疗质量控制中心挂靠单位。</w:t>
      </w:r>
    </w:p>
    <w:p w14:paraId="7355D0C2">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马场院区定位为“儿科医疗孵化器”，以培养儿科医疗骨干为己任，以精准医学科研为专业核心，以急危重症救治为诊疗重点。特色专业为急诊、EICU、NICU、PICU，以老专家为核心，开设专家门诊、综合门诊、特需门诊等为广大患儿提供诊疗服务。在设立普内科、普外科基础上，注重科室融合，逐步完善“小儿颅脑神经中心”“小儿心血管中心”“小儿内镜中心”“小儿急救中心”“新生儿诊疗中心”“精准医学中心”等建制。内设医院急救特种车辆，方便两院区危重患儿转诊。</w:t>
      </w:r>
    </w:p>
    <w:p w14:paraId="43ACFEAE">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龙岩院区定位为“儿科医疗助推器”，以抚育儿科医疗大家为目标，以罕见病为临床特色，以疑难杂症诊治为医疗重点。特色专业为血液、心理及各新兴亚专业，开设专科门诊、MDT门诊、特需门诊等为广大患儿提供诊疗服务。充分发挥远程医疗优势，各专业进一步细分方向，由疾病诊疗延展至健康科普，进一步细化“儿童健康管理中心”“小儿心理诊疗中心”“小儿病理诊断会诊中心”“小儿血液疾病中心”“罕见病诊疗中心”“小儿影像诊断中心”“小儿检验医学中心”“小儿内镜中心”等。</w:t>
      </w:r>
    </w:p>
    <w:p w14:paraId="675F133D">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展望院区定位为“儿科医疗体验区”，以提升儿科医疗人文关怀为核心，以关注心身安康为特色，以儿童生命周期保健为亮点。设置儿童保健科，涵盖儿童生长发育专业、儿童营养专业、儿童心理卫生专业、儿童五官保健专业、儿童康复专业。设置小儿健康体检及健康教育中心，负责小儿健康体检和科普宣传。设置中医百灵馆，以中医适宜技术为重点。</w:t>
      </w:r>
    </w:p>
    <w:p w14:paraId="027B4DBE">
      <w:pPr>
        <w:ind w:firstLine="540" w:firstLineChars="200"/>
        <w:rPr>
          <w:rFonts w:asciiTheme="minorEastAsia" w:hAnsiTheme="minorEastAsia" w:cstheme="minorEastAsia"/>
          <w:color w:val="000000"/>
          <w:sz w:val="27"/>
          <w:szCs w:val="27"/>
          <w:shd w:val="clear" w:color="auto" w:fill="FFFFFF"/>
        </w:rPr>
      </w:pPr>
      <w:r>
        <w:rPr>
          <w:rFonts w:hint="eastAsia" w:asciiTheme="minorEastAsia" w:hAnsiTheme="minorEastAsia" w:cstheme="minorEastAsia"/>
          <w:color w:val="000000"/>
          <w:sz w:val="27"/>
          <w:szCs w:val="27"/>
          <w:shd w:val="clear" w:color="auto" w:fill="FFFFFF"/>
        </w:rPr>
        <w:t>医院拥有自上世纪五十年代起自主研发传承至今的14个剂型43个院内中西制剂，如病毒合剂、棕铵口服溶液、复方氧化锌搽剂、疏表灵等。品质过硬，安全有效，是几代天津市民呵护健康、温馨美好的童年记忆。医院诊疗科目齐全，具有完善的配套医技科室，满足医疗、教学和科研所需的医疗仪器设备，合理的人才梯队，较高的信息化管理水平，较强的医疗服务辐射力和影响力。医院坚持公立医院的公益性，目前本市及外省市医联体已达120余家，并带动本市基层医疗机构建立儿童呼吸诊疗基地，同时承担对本市及周边地区医疗机构儿科临床、教学、科研等方面的技术指导，带动学科整体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zhmZWRkZjIwOGY3ODYxMjMzZTUyOGMzYjQxYzcifQ=="/>
  </w:docVars>
  <w:rsids>
    <w:rsidRoot w:val="00944759"/>
    <w:rsid w:val="0001571B"/>
    <w:rsid w:val="000F3640"/>
    <w:rsid w:val="0024503E"/>
    <w:rsid w:val="002D375C"/>
    <w:rsid w:val="00427CF0"/>
    <w:rsid w:val="0047644F"/>
    <w:rsid w:val="004D3F92"/>
    <w:rsid w:val="005376E3"/>
    <w:rsid w:val="00587411"/>
    <w:rsid w:val="006368A8"/>
    <w:rsid w:val="00647708"/>
    <w:rsid w:val="00672F4B"/>
    <w:rsid w:val="006B1B83"/>
    <w:rsid w:val="007111D6"/>
    <w:rsid w:val="00734D67"/>
    <w:rsid w:val="007A79F0"/>
    <w:rsid w:val="007D74A1"/>
    <w:rsid w:val="007F502D"/>
    <w:rsid w:val="00944759"/>
    <w:rsid w:val="009A7968"/>
    <w:rsid w:val="00A05ADC"/>
    <w:rsid w:val="00B504EF"/>
    <w:rsid w:val="00B54EAA"/>
    <w:rsid w:val="00D87E86"/>
    <w:rsid w:val="00F32C46"/>
    <w:rsid w:val="00F86A22"/>
    <w:rsid w:val="00F921FB"/>
    <w:rsid w:val="015F0010"/>
    <w:rsid w:val="08A2174C"/>
    <w:rsid w:val="0DD14446"/>
    <w:rsid w:val="0FE45447"/>
    <w:rsid w:val="2AD0584D"/>
    <w:rsid w:val="3F76656C"/>
    <w:rsid w:val="40707817"/>
    <w:rsid w:val="559B20B4"/>
    <w:rsid w:val="578E2D88"/>
    <w:rsid w:val="5A30566B"/>
    <w:rsid w:val="617213B6"/>
    <w:rsid w:val="69620521"/>
    <w:rsid w:val="6BC67195"/>
    <w:rsid w:val="6D1E1E6D"/>
    <w:rsid w:val="6F2725B4"/>
    <w:rsid w:val="76D7058B"/>
    <w:rsid w:val="7940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1850</Words>
  <Characters>1894</Characters>
  <Lines>13</Lines>
  <Paragraphs>3</Paragraphs>
  <TotalTime>1</TotalTime>
  <ScaleCrop>false</ScaleCrop>
  <LinksUpToDate>false</LinksUpToDate>
  <CharactersWithSpaces>1894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2024-08-21T04:47:00Z</dcterms:created>
  <dc:creator>etyy</dc:creator>
  <cp:lastModifiedBy>etyy</cp:lastModifiedBy>
  <cp:lastPrinted>2024-08-20T09:50:00Z</cp:lastPrinted>
  <dcterms:modified xsi:type="dcterms:W3CDTF">2024-08-27T07:57:25Z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D36E0E6D8D304EF88674988DEB7F67A1_13</vt:lpwstr>
  </property>
</Properties>
</file>