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FBF6">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rPr>
      </w:pPr>
    </w:p>
    <w:p w14:paraId="0CA1FDA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天津市宝坻区人民医院</w:t>
      </w:r>
    </w:p>
    <w:p w14:paraId="12F1FD2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rPr>
      </w:pPr>
    </w:p>
    <w:p w14:paraId="7A0C6961">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科室设置</w:t>
      </w:r>
      <w:bookmarkStart w:id="0" w:name="_GoBack"/>
      <w:bookmarkEnd w:id="0"/>
    </w:p>
    <w:p w14:paraId="6463CA0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消化内科、全科医学科、老年医学科、呼吸与危重症医学科、内分泌科、神经内科、心血管内科、重症医学科、神经外科、胸外科、肝胆外科、肿瘤科、胃肠外科、泌尿外科、乳腺甲状腺科、骨科、手足外科、脊柱关节外科、妇科、产科、急诊科、康复科、中医科、儿科、眼科、耳鼻喉科、麻醉科、疼痛科、放疗科、口腔科、皮肤科、感染性疾病科、普内科、介入诊疗科、手术室、药剂科、医学检验科、病理科、医学影像科、CT室、超声科、放射科、高压氧、创面门诊、体检科、消毒供应中心、门诊手术室、内镜中心、心电图室、营养科、骨科复位室、验光配镜室、输血科、日间病房、脑电乳透、网络信息中心、办公室、党委办公室、人事处、财务处、审计处、总务处、医务处、护理部、门诊部、医院感染管理科、团委、保卫处、综合应急办公室、病案室、医保科、物资供应处、科技教育处、预防保健处、医疗设备处、、工会、爱卫会、后勤处。</w:t>
      </w:r>
    </w:p>
    <w:p w14:paraId="1B87EB68">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二、专业介绍</w:t>
      </w:r>
    </w:p>
    <w:p w14:paraId="7DAF6FD4">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（一）专业方向及服务名称</w:t>
      </w:r>
    </w:p>
    <w:p w14:paraId="7A8B813F">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骨科专业；妇科专业；计划生育专业；皮肤病专业；急诊医学专业；麻醉科/疼痛科/医学检验；临床体液、血液专业；临床微生物学专业；临床化学检验专业；临床免疫、血清学专业；临床细胞分子遗传学专业/病理科/医学影像科；X线诊断专业；CT诊断专业；核磁共振专业、核医学专业、放射治疗专业、超声诊断专业；心电诊断专业；脑电及脑血流图诊断专业；神经肌肉电图专业/中医科；内科专业；外科专业；妇产科专业；儿科专业；皮肤科专业；肿瘤科专业；骨伤科专业；肛肠科专业；老年病科专业；针灸科专业；推拿科专业；康复医学专业。</w:t>
      </w:r>
    </w:p>
    <w:p w14:paraId="61CA9758">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（二）特色服务</w:t>
      </w:r>
    </w:p>
    <w:p w14:paraId="4A340555">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夜诊、老年病门诊、儿童生长发育门诊、生殖助孕门诊、妇科内分泌门诊、中医治未病门诊、戒烟门诊、特需门诊、孕妇学校、中西医结合康复门诊、老年人普诊挂号免检查费，诊间转诊、诊间支付等。</w:t>
      </w:r>
    </w:p>
    <w:p w14:paraId="71AA2F41">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三、就诊须知</w:t>
      </w:r>
    </w:p>
    <w:p w14:paraId="016FC926">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 xml:space="preserve">（一）门诊诊疗时间：8:00—11:30，13:30—17:00（秋冬季）   </w:t>
      </w:r>
    </w:p>
    <w:p w14:paraId="3BB55FD2">
      <w:pPr>
        <w:keepNext w:val="0"/>
        <w:keepLines w:val="0"/>
        <w:pageBreakBefore w:val="0"/>
        <w:widowControl w:val="0"/>
        <w:shd w:val="clear"/>
        <w:kinsoku/>
        <w:wordWrap/>
        <w:overflowPunct/>
        <w:topLinePunct w:val="0"/>
        <w:autoSpaceDE/>
        <w:autoSpaceDN/>
        <w:bidi w:val="0"/>
        <w:adjustRightInd/>
        <w:snapToGrid/>
        <w:spacing w:line="560" w:lineRule="exact"/>
        <w:ind w:firstLine="2520" w:firstLineChars="1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8:00—11:30，14:00—17:30（春夏季）</w:t>
      </w:r>
    </w:p>
    <w:p w14:paraId="2A26B61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（二）门诊挂号：</w:t>
      </w:r>
    </w:p>
    <w:p w14:paraId="759AE661">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1.挂号时间：</w:t>
      </w:r>
    </w:p>
    <w:p w14:paraId="1C58E50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自助机、微信公众号、津医保、支付宝：</w:t>
      </w:r>
    </w:p>
    <w:p w14:paraId="4AA6F720">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 xml:space="preserve">          6:30—11:30，12:45—17:00 (秋冬季) </w:t>
      </w:r>
    </w:p>
    <w:p w14:paraId="1089EBA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 xml:space="preserve">          6:30—11:30，13:15—17:30(春夏季) </w:t>
      </w:r>
    </w:p>
    <w:p w14:paraId="75372F3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 xml:space="preserve">人工窗口: 7:00—11:30，13:00—17:00(秋冬季) </w:t>
      </w:r>
    </w:p>
    <w:p w14:paraId="2517450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 xml:space="preserve">         7:00—11:30，13:30—17:30(春夏季)</w:t>
      </w:r>
    </w:p>
    <w:p w14:paraId="6807858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p>
    <w:p w14:paraId="46B12A0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2.挂号费：</w:t>
      </w:r>
    </w:p>
    <w:p w14:paraId="4B6F9F2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普通号：15元，普通号（中医）：17元，副主任号：20元，正主任号：30元，特需专家号：300元，糖尿病患者门特挂号费用增加10元。</w:t>
      </w:r>
    </w:p>
    <w:p w14:paraId="29FDB6C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3.挂号条当日有效，过期作废。</w:t>
      </w:r>
    </w:p>
    <w:p w14:paraId="4CAE8869">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4.如果您是首诊患者，建议先至门诊服务中心或导诊台鉴诊再挂号。</w:t>
      </w:r>
    </w:p>
    <w:p w14:paraId="4DC1A9E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（三）门诊退费退号：</w:t>
      </w:r>
    </w:p>
    <w:p w14:paraId="19F69205">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1.退换号：请于当天将挂号正式收据由医生签字后，患者本人签字后，至人工窗口进行退号；自助机缴费挂号患者，请至人工窗口换取正式收据后，再由医生签字，患者本人签字后，至人工窗口办理退费手续。</w:t>
      </w:r>
    </w:p>
    <w:p w14:paraId="3A9B57C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2.退费：当日退费、往期退费请将票据换成正式收据（人工窗口），由开单医生、产生费用的其他科室（如药房、检验科、彩超室等）签字后，患者本人签字后，至人工窗口办理退费手续。</w:t>
      </w:r>
    </w:p>
    <w:p w14:paraId="72CC5A0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（四）门诊病历打印：门诊二楼门诊办公室，门诊各个诊区</w:t>
      </w:r>
    </w:p>
    <w:p w14:paraId="64CA268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（五）诊断证明书及休假证明书盖章：</w:t>
      </w:r>
    </w:p>
    <w:p w14:paraId="61F3CAD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1.诊断证明书至门诊办公室处盖章（正常工作时间）</w:t>
      </w:r>
    </w:p>
    <w:p w14:paraId="7FEA22D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2.休假证明书，至门诊办公室盖章</w:t>
      </w:r>
    </w:p>
    <w:p w14:paraId="0B852A32">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（六）检验报告单打印：自助机位于一楼急诊化验室旁，三楼化验室自助机，将检验码对准扫描口，自助打印。</w:t>
      </w:r>
    </w:p>
    <w:p w14:paraId="1722AC96">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（七）门诊预约：</w:t>
      </w:r>
    </w:p>
    <w:p w14:paraId="279065DF">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1.预约方式：津医保APP预约、支付宝预约、现场预约、自助机预约、手机微信公众号预约、电话预约（29262124）</w:t>
      </w:r>
    </w:p>
    <w:p w14:paraId="2853F5F1">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2.预约时间：可提前一周预约</w:t>
      </w:r>
    </w:p>
    <w:p w14:paraId="2EE3E4E8">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3.缴费时间：就诊当天7:30之前。</w:t>
      </w:r>
    </w:p>
    <w:p w14:paraId="33CFF2B5">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四、住院须知</w:t>
      </w:r>
    </w:p>
    <w:p w14:paraId="7727108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（一）办理住院流程：</w:t>
      </w:r>
    </w:p>
    <w:p w14:paraId="403151A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 患者来院就诊，需要住院的由门诊医生开具住院证，；</w:t>
      </w:r>
    </w:p>
    <w:p w14:paraId="1455F29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 门诊医师诊断病情并记录在门诊病历上，并在门诊病历上提示入住科室；</w:t>
      </w:r>
    </w:p>
    <w:p w14:paraId="190F0C50">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 患者持住院证或电子住院证到住院处办理住院手续，提交身份证及各种医疗保险证件；</w:t>
      </w:r>
    </w:p>
    <w:p w14:paraId="7D398B5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 患者交住院押金，打印预交款收据，收费处提供押金收据,补交押金可以在住院部的自助机、手机公众号和住院收费处。</w:t>
      </w:r>
    </w:p>
    <w:p w14:paraId="43574B6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（二）注意事项：</w:t>
      </w:r>
    </w:p>
    <w:p w14:paraId="76E992C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患者携带医保卡、身份证到住院处办理入院手续；核对姓名、性别、出生年月日、年龄、时间、住址、联系方式等信息，上述信息办理入院后即不能改变，姓名、年龄确需更正需持有效证件复印件找主管医生签字，特殊情况的需到医务处填写申请、出具证明；</w:t>
      </w:r>
    </w:p>
    <w:p w14:paraId="130F860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2.为配合诊疗及回访工作的需要，请您留下详细的家庭住址、联系人姓名、关系及电话、携带患者本人身份证留取复印件，对患者的所有资料信息我们将会履行医疗保密义务；</w:t>
      </w:r>
    </w:p>
    <w:p w14:paraId="52E132F8">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3.住院处将患者的信息准确输入电脑，及时准确告知医保类别及特殊要求，严禁冒名顶替、借用医保卡骗保的行为。</w:t>
      </w:r>
    </w:p>
    <w:p w14:paraId="56E7CE4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五、预约诊疗</w:t>
      </w:r>
    </w:p>
    <w:p w14:paraId="2DE75EE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1.预约方式：津医保APP预约、支付宝预约、现场预约、自助机预约、手机微信公众号预约、电话预约（29262124）</w:t>
      </w:r>
    </w:p>
    <w:p w14:paraId="0F2E0770">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2.预约时间：可提前一周预约</w:t>
      </w:r>
    </w:p>
    <w:p w14:paraId="4328F075">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3.缴费时间：就诊当天7:30之前。</w:t>
      </w:r>
    </w:p>
    <w:p w14:paraId="7944B03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六、检验检查</w:t>
      </w:r>
    </w:p>
    <w:p w14:paraId="6929D44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（一）临床检验</w:t>
      </w:r>
    </w:p>
    <w:p w14:paraId="32A83D8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1.流程：患者就诊→医生开具医嘱→缴费→检验项目确认→标本采集→标本检测→报告出具。</w:t>
      </w:r>
    </w:p>
    <w:p w14:paraId="0C095C10">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2.须知、注意事项：</w:t>
      </w:r>
    </w:p>
    <w:p w14:paraId="35B2BA1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需空腹采血的检测，受检者应处于静息状态空腹8小时以上，采血时间以上午7-9时较为适宜，标本采集前避免剧烈运动、饱食、情绪激动。</w:t>
      </w:r>
    </w:p>
    <w:p w14:paraId="036E63D0">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3.报告获取时间及方式：</w:t>
      </w:r>
    </w:p>
    <w:p w14:paraId="166C53F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报告获取时间：不同检测项目报告时间不同，依据工作人员告知的时间获取报告。</w:t>
      </w:r>
    </w:p>
    <w:p w14:paraId="0FAA8DCF">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方式：自助报告机自行打印纸质版报告、关注天津市宝坻区人民医院微信公众号查询电子版报告。</w:t>
      </w:r>
    </w:p>
    <w:p w14:paraId="24129A24">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（二）超声</w:t>
      </w:r>
    </w:p>
    <w:p w14:paraId="1B93EC9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1.流程：</w:t>
      </w:r>
    </w:p>
    <w:p w14:paraId="6D38C97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（1）一般门诊超声检查流程</w:t>
      </w:r>
    </w:p>
    <w:p w14:paraId="5C4C9BF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由临床医生根据患者病情开具相应的彩超检查申请单→患者缴费，持申请单及缴费票据来超声科排队→排队到号后，进入相应诊室检查</w:t>
      </w:r>
    </w:p>
    <w:p w14:paraId="08A2077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（2）门诊下肢血管超声检查流程</w:t>
      </w:r>
    </w:p>
    <w:p w14:paraId="116BF493">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由临床医生根据患者病情开具相应的下肢血管彩超检查申请单→患者缴费，持申请单及缴费票据来超声科预约检查时间→患者按照预约时间，到相应超声诊室检查</w:t>
      </w:r>
    </w:p>
    <w:p w14:paraId="6FCAC492">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（3）住院患者超声检查流程</w:t>
      </w:r>
    </w:p>
    <w:p w14:paraId="5B473B1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由临床医生根据患者病情开具相应的彩超检查医嘱→病房打印超声检查预约单→陪检人员持检查预约单带病人到超声室检查</w:t>
      </w:r>
    </w:p>
    <w:p w14:paraId="482027F4">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（4）超声检查注意事项：</w:t>
      </w:r>
    </w:p>
    <w:p w14:paraId="21DF41B4">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肝胆胰脾及门静脉、腹主动脉、肾上腺超声检查前需空腹，如同时有胃肠镜及呼气试验检查的病人，需先行空腹超声检查，以免气体影响，或胃镜后24小时，肠镜后48—72小时后查空腹超声。</w:t>
      </w:r>
    </w:p>
    <w:p w14:paraId="2A806CCA">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泌尿系超声需适量充盈膀胱。</w:t>
      </w:r>
    </w:p>
    <w:p w14:paraId="116788E1">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经腹部的妇科超声检查需充盈膀胱。</w:t>
      </w:r>
    </w:p>
    <w:p w14:paraId="6D61503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门诊下肢血管检查请提前预约。</w:t>
      </w:r>
    </w:p>
    <w:p w14:paraId="3BBBA5D5">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报告获取：</w:t>
      </w:r>
    </w:p>
    <w:p w14:paraId="3E221252">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门诊超声检查结束后10分钟内（特殊情况———复杂病例、需会诊病例一般不超过30分钟），由检查医生打印报告后交给病人。</w:t>
      </w:r>
    </w:p>
    <w:p w14:paraId="2414EC6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住院患者检查结束后30分钟内出具报告，PASC系统提交报告后即上传至医生系统，打印的纸质图文报告在当日下班前由陪检人员统一取走送至相应病房。</w:t>
      </w:r>
    </w:p>
    <w:p w14:paraId="1B0A9DFA">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影像</w:t>
      </w:r>
    </w:p>
    <w:p w14:paraId="06B1616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 流程及报告获取时间、方式</w:t>
      </w:r>
    </w:p>
    <w:p w14:paraId="1E6CFF8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平片检查</w:t>
      </w:r>
    </w:p>
    <w:p w14:paraId="51052EAB">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临床医生申请→收费窗口缴费/扫码缴费（住院患者计费）→分诊台登记→相应检查室检查→检查结束后：门急诊30—120分钟在自助取片机打印胶片和报告。（下班顺延）</w:t>
      </w:r>
    </w:p>
    <w:p w14:paraId="2DA78C6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CT检查</w:t>
      </w:r>
    </w:p>
    <w:p w14:paraId="07A12D4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临床医生申请→收费窗口缴费/扫码缴费（住院患者计费）→分诊台登记→相应检查室检查→检查结束后：门急诊30—120分钟在自助取片机打印胶片和报告。（下班顺延）</w:t>
      </w:r>
    </w:p>
    <w:p w14:paraId="40B31FB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MRI检查</w:t>
      </w:r>
    </w:p>
    <w:p w14:paraId="34A0B04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临床医生申请→收费窗口缴费/扫码缴费（住院患者计费）→分诊台登记→相应检查室检查→检查结束后：门急诊30—120分钟在自助取片机打印胶片和报告。（下班顺延）</w:t>
      </w:r>
    </w:p>
    <w:p w14:paraId="1BEFE11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PET-CT检查</w:t>
      </w:r>
    </w:p>
    <w:p w14:paraId="1D19C49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临床医生申请→收费窗口缴费/扫码缴费（住院患者计费）→PET-CT检查室预约→按预约日期完成检查→检查结束后：完成检查的次日15:00后在PET-CT检查室领取报告。</w:t>
      </w:r>
    </w:p>
    <w:p w14:paraId="3CCCF79C">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ECT检查</w:t>
      </w:r>
    </w:p>
    <w:p w14:paraId="5637390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临床医生申请→收费窗口缴费/扫码缴费（住院患者计费）→ECT检查室预约→按预约日期完成检查→检查结束后：完成检查的次日8:00后在ECT检查室领取报告。</w:t>
      </w:r>
    </w:p>
    <w:p w14:paraId="7A6168A1">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2.影像学检查前须知及注意事项</w:t>
      </w:r>
    </w:p>
    <w:p w14:paraId="690971A1">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平片检查注意事项：</w:t>
      </w:r>
    </w:p>
    <w:p w14:paraId="5F26E0C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检查前，需去掉检查部位携带的饰品或金属物品，如耳环、项链、手镯、钥匙、膏药、胶布、金属皮带等，应避免穿着带有金属丝线或者其它装饰品的衣物，避免给医生的诊断带来干扰，甚至造成误诊或漏诊；</w:t>
      </w:r>
    </w:p>
    <w:p w14:paraId="76E4661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（2）检查中，请按照工作人员的要求保持相应的体位，曝光期间保持体位静止，以保证胶片质量；对于不合作的幼儿和年老体弱的患者，需患者家属积极配合放射工作人员；</w:t>
      </w:r>
    </w:p>
    <w:p w14:paraId="1507995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（3）设备处于工作状态时，门口照射信号灯亮起，此时不能开启检查门，也不能进入检查室，在候诊区的所有候诊者一律在防护门外等候，尽量避免在辐射区内停留；</w:t>
      </w:r>
    </w:p>
    <w:p w14:paraId="58D54595">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（4）请怀孕者务必在检查前告知放射科医务人员，怀孕早期(1—3月)尽量避免腹部X线检查。为明确诊断而必须做放射检查的孕妇，应当权衡利弊，需受检者签字认可后才能接受放射检查；</w:t>
      </w:r>
    </w:p>
    <w:p w14:paraId="169A0801">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（5）您的影像检查资料需妥善保管，以便下次复查时对比分析；复查的患者请携带相关的病历及影像检查资料，供医生综合分析、对照。</w:t>
      </w:r>
    </w:p>
    <w:p w14:paraId="78882029">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CT检查注意事项：</w:t>
      </w:r>
    </w:p>
    <w:p w14:paraId="6E1AECD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（1）去除检查部位金属衣物及金属饰品，防止造成金属伪影，影响诊断；</w:t>
      </w:r>
    </w:p>
    <w:p w14:paraId="262C2FA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（2）腹部检查，根据临床医师指导能喝水的必须喝水，盆腔检查能憋尿要憋尿；做检查过程中，切记一定不能动，根据指令配合吸气、呼气和憋气；</w:t>
      </w:r>
    </w:p>
    <w:p w14:paraId="3606C27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（3）腹部扫描前一周不吃含金属的药物，不做胃肠造影，影响CT的图像质量，从而导致误诊及漏诊。在等待检查时，若因饥饿出现头晕、出冷汗等低血糖症状，可以饮糖水；</w:t>
      </w:r>
    </w:p>
    <w:p w14:paraId="5F4876D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（4）怀孕期间及备孕前不能做检查，如必须要做，需要签字确认。</w:t>
      </w:r>
    </w:p>
    <w:p w14:paraId="23621550">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MRI检查注意事项：</w:t>
      </w:r>
    </w:p>
    <w:p w14:paraId="1D7D9DFB">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（1）去除身上所有的金属物品，如手机、磁卡、手表、硬币、钥匙、金属饰品、金属皮带扣等。这些金属物品不仅可能影响磁场的均匀性，还可能导致检查结果失真或出现安全隐患。</w:t>
      </w:r>
    </w:p>
    <w:p w14:paraId="386073BB">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（2）患者应穿着简单、轻便的衣服，避免穿着含有金属纤维的衣物。</w:t>
      </w:r>
    </w:p>
    <w:p w14:paraId="493A7EE5">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（3）如有特殊物品，如助听器、假牙等，应提前告知医生，以便安排特殊处理。对于可拆卸的假牙，建议在检查前取下。</w:t>
      </w:r>
    </w:p>
    <w:p w14:paraId="09A61F0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（4）MRI检查过程中会产生较大的噪音，且检查时间较长，患者可能会感到紧张或害怕。适当的心理准备，如了解检查过程、与医护人员沟通等，可以有效缓解不安情绪，使检查更加顺利。</w:t>
      </w:r>
    </w:p>
    <w:p w14:paraId="12C7294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（5）在检查过程中，患者应保持身体静止，不要随意移动或触摸机器内壁及电线，以免影响图像质量或造成个人伤害。</w:t>
      </w:r>
    </w:p>
    <w:p w14:paraId="1EE3511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PET-CT检查注意事项：</w:t>
      </w:r>
    </w:p>
    <w:p w14:paraId="0CC2C6D8">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（1）检查前禁食4～6小时，检查当日携带1500毫升饮用水及近期相关检查结果；</w:t>
      </w:r>
    </w:p>
    <w:p w14:paraId="0045CFE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（2）糖尿病患者检查前一日低糖饮食，停用二甲双胍类降糖药48小时（避免影响图像诊断信息，无安全问题），检查当日早晨停用胰岛素（避免影响图像诊断信息，无安全问题）。</w:t>
      </w:r>
    </w:p>
    <w:p w14:paraId="338F8E4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（3）去除检查部位金属衣物及金属饰品，防止造成金属伪影，影响诊断；</w:t>
      </w:r>
    </w:p>
    <w:p w14:paraId="2B7E554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（4）怀孕期间及备孕前不能进行此检查，如必须要做，需要签字确认。</w:t>
      </w:r>
    </w:p>
    <w:p w14:paraId="2831408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ECT检查注意事项：</w:t>
      </w:r>
    </w:p>
    <w:p w14:paraId="592FC839">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（1）去除检查部位金属衣物及金属饰品，防止造成金属伪影，影响诊断；</w:t>
      </w:r>
    </w:p>
    <w:p w14:paraId="1650E088">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（2）检查前患者准备</w:t>
      </w:r>
    </w:p>
    <w:p w14:paraId="37015149">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全身骨显像：检查当日正常饮食，携带1000毫升饮用水；</w:t>
      </w:r>
    </w:p>
    <w:p w14:paraId="62E8EFE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肾动态显像：检查当日正常饮食，携带1000毫升饮用水，测量身高、体重；</w:t>
      </w:r>
    </w:p>
    <w:p w14:paraId="6287D96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心肌灌注显像：检查前禁食4~6小时，携带脂肪餐（如一袋纯牛奶、两个油煎鸡蛋）并遵医嘱在何时食用。</w:t>
      </w:r>
    </w:p>
    <w:p w14:paraId="39472DE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其余检查项目均无需特殊准备，可正常饮食。</w:t>
      </w:r>
    </w:p>
    <w:p w14:paraId="5399B18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（3）怀孕期间及备孕前不能进行ECT检查，如必须要做，需要签字确认。</w:t>
      </w:r>
    </w:p>
    <w:p w14:paraId="49DF1BFA">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七、分级诊疗：</w:t>
      </w:r>
    </w:p>
    <w:p w14:paraId="3ACE167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联系电话：022-29262124</w:t>
      </w:r>
    </w:p>
    <w:p w14:paraId="1420F91B">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双向转诊</w:t>
      </w:r>
    </w:p>
    <w:p w14:paraId="0C1D4E9D">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服务内容：双方建成医共体合作关系，执行双向转诊程序。下级医院将急危重症的患者转往我院，我院将进入恢复期的转诊患者回转下级医院。上级医院将进入恢复期的转诊患者转入我院，我院将急危重症患者转往上级医院。</w:t>
      </w:r>
    </w:p>
    <w:p w14:paraId="7D854969">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机构：宝平医院、海滨医院、钰华医院、史各庄医院、大口屯医院、大白庄医院、王卜庄医院、黑狼口医院、林亭口医院、大钟庄医院、郝各庄医院、方家庄医院、八门城医院、新安镇医院、三岔口卫生院、霍各庄卫生院、朝霞卫生院、赵各庄卫生院、牛道口卫生院、南仁垺卫生院、潮阳卫生院、新开口卫生院、牛家牌卫生院、周良庄卫生院、尔王庄卫生院、大唐卫生院、口东卫生院、杨家口卫生院、黄庄卫生院、北潭卫生院、何仉卫生院。</w:t>
      </w:r>
    </w:p>
    <w:p w14:paraId="1D040E64">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流程：转出方通过转入方双向转诊负责人，将符合转诊指征的患者基本信息告知。转出方应妥善安排患者转诊转入方，并提前取得联系。转诊单由患者携带直接前往转入方接诊科室就诊或办理住院。转入方为转出方患者建立号源绿色通道机制，提供一站式转诊服务。转出方接诊科室继续跟踪回转患者的后续治疗，与转入方人员充分沟通，进行必要的业务指导。</w:t>
      </w:r>
    </w:p>
    <w:p w14:paraId="02A089F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八、远程医疗：宝坻区医学影像远程诊断中心、宝坻区胸痛联盟工作群</w:t>
      </w:r>
    </w:p>
    <w:p w14:paraId="6984D6EE">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利用宝坻区医学影像远程诊断中心、宝坻区胸痛联盟工作群</w:t>
      </w:r>
    </w:p>
    <w:p w14:paraId="698BE59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的成熟模式优势，宝坻区人民医院构建远程影像诊断；远程胸痛心电图分析诊断、治疗指导、快速救治通道建立。为患者提供及时、优质、高水平诊疗服务。</w:t>
      </w:r>
    </w:p>
    <w:p w14:paraId="60DDB857">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九、交通情况：广川路8号</w:t>
      </w:r>
    </w:p>
    <w:p w14:paraId="76243B56">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公交：591路、592路、593路、594路</w:t>
      </w:r>
    </w:p>
    <w:p w14:paraId="6301566A">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highlight w:val="none"/>
          <w:lang w:val="en-US" w:eastAsia="zh-CN"/>
        </w:rPr>
      </w:pPr>
      <w:r>
        <w:rPr>
          <w:rFonts w:hint="eastAsia" w:ascii="Times New Roman" w:hAnsi="Times New Roman" w:eastAsia="仿宋_GB2312" w:cs="Times New Roman"/>
          <w:b w:val="0"/>
          <w:bCs/>
          <w:color w:val="auto"/>
          <w:sz w:val="32"/>
          <w:highlight w:val="none"/>
          <w:lang w:val="en-US" w:eastAsia="zh-CN"/>
        </w:rPr>
        <w:t xml:space="preserve">                        </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19BB3829-0513-4A25-A51F-5DF514F8E313}"/>
  </w:font>
  <w:font w:name="仿宋_GB2312">
    <w:panose1 w:val="02010609030101010101"/>
    <w:charset w:val="86"/>
    <w:family w:val="modern"/>
    <w:pitch w:val="default"/>
    <w:sig w:usb0="00000001" w:usb1="080E0000" w:usb2="00000000" w:usb3="00000000" w:csb0="00040000" w:csb1="00000000"/>
    <w:embedRegular r:id="rId2" w:fontKey="{0EB623D6-215B-4794-8EFB-BA901DA06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C8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19918"/>
    <w:multiLevelType w:val="singleLevel"/>
    <w:tmpl w:val="98B19918"/>
    <w:lvl w:ilvl="0" w:tentative="0">
      <w:start w:val="3"/>
      <w:numFmt w:val="chineseCounting"/>
      <w:suff w:val="nothing"/>
      <w:lvlText w:val="（%1）"/>
      <w:lvlJc w:val="left"/>
      <w:rPr>
        <w:rFonts w:hint="eastAsia"/>
      </w:rPr>
    </w:lvl>
  </w:abstractNum>
  <w:abstractNum w:abstractNumId="1">
    <w:nsid w:val="FBCC1905"/>
    <w:multiLevelType w:val="singleLevel"/>
    <w:tmpl w:val="FBCC19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BF3574"/>
    <w:rsid w:val="03E01910"/>
    <w:rsid w:val="03E601EE"/>
    <w:rsid w:val="040C0819"/>
    <w:rsid w:val="04267BE9"/>
    <w:rsid w:val="044163B3"/>
    <w:rsid w:val="04572F0C"/>
    <w:rsid w:val="04691DDD"/>
    <w:rsid w:val="04730898"/>
    <w:rsid w:val="047B7DC8"/>
    <w:rsid w:val="048D2738"/>
    <w:rsid w:val="04A668AD"/>
    <w:rsid w:val="04A7196A"/>
    <w:rsid w:val="04AC0F3D"/>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63581A"/>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AA19CF"/>
    <w:rsid w:val="0ABB4D47"/>
    <w:rsid w:val="0ADE6740"/>
    <w:rsid w:val="0AEE2A27"/>
    <w:rsid w:val="0B071D3B"/>
    <w:rsid w:val="0B371A2A"/>
    <w:rsid w:val="0B3F3282"/>
    <w:rsid w:val="0BA17A99"/>
    <w:rsid w:val="0BDE2D08"/>
    <w:rsid w:val="0C594818"/>
    <w:rsid w:val="0C6B6869"/>
    <w:rsid w:val="0C6D2071"/>
    <w:rsid w:val="0C722836"/>
    <w:rsid w:val="0CB67574"/>
    <w:rsid w:val="0CF54541"/>
    <w:rsid w:val="0D34791F"/>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BB7B66"/>
    <w:rsid w:val="13C95DDF"/>
    <w:rsid w:val="13D01C72"/>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84B12"/>
    <w:rsid w:val="173C0FBE"/>
    <w:rsid w:val="17604CAC"/>
    <w:rsid w:val="17DE07C9"/>
    <w:rsid w:val="182241ED"/>
    <w:rsid w:val="1875756F"/>
    <w:rsid w:val="187A3B4C"/>
    <w:rsid w:val="18910E95"/>
    <w:rsid w:val="18B2778A"/>
    <w:rsid w:val="18C272A1"/>
    <w:rsid w:val="18C94AD3"/>
    <w:rsid w:val="192E1A32"/>
    <w:rsid w:val="1941206D"/>
    <w:rsid w:val="19466124"/>
    <w:rsid w:val="194D1260"/>
    <w:rsid w:val="19766A09"/>
    <w:rsid w:val="19946E7F"/>
    <w:rsid w:val="19F33460"/>
    <w:rsid w:val="1A5D36A1"/>
    <w:rsid w:val="1A626F8D"/>
    <w:rsid w:val="1ACF6C75"/>
    <w:rsid w:val="1AF72038"/>
    <w:rsid w:val="1B124510"/>
    <w:rsid w:val="1B245FF1"/>
    <w:rsid w:val="1B5B4B1C"/>
    <w:rsid w:val="1B6F0841"/>
    <w:rsid w:val="1BEC4D61"/>
    <w:rsid w:val="1BED0AD9"/>
    <w:rsid w:val="1C092910"/>
    <w:rsid w:val="1C205EFD"/>
    <w:rsid w:val="1C4A2977"/>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E963DB"/>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330912"/>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9B2DD9"/>
    <w:rsid w:val="26A56238"/>
    <w:rsid w:val="26B368B9"/>
    <w:rsid w:val="272F01F7"/>
    <w:rsid w:val="274A7F66"/>
    <w:rsid w:val="274E2D73"/>
    <w:rsid w:val="275D6109"/>
    <w:rsid w:val="276C144B"/>
    <w:rsid w:val="27993E70"/>
    <w:rsid w:val="27AC35F6"/>
    <w:rsid w:val="27B9633B"/>
    <w:rsid w:val="27BA3F65"/>
    <w:rsid w:val="27D66FEB"/>
    <w:rsid w:val="27E2170E"/>
    <w:rsid w:val="27FC457D"/>
    <w:rsid w:val="282560F4"/>
    <w:rsid w:val="284521C2"/>
    <w:rsid w:val="2854771D"/>
    <w:rsid w:val="2896248B"/>
    <w:rsid w:val="28A075FF"/>
    <w:rsid w:val="28AB7D51"/>
    <w:rsid w:val="28AD3ACA"/>
    <w:rsid w:val="28DA74B8"/>
    <w:rsid w:val="290D27BA"/>
    <w:rsid w:val="291875E1"/>
    <w:rsid w:val="29567CBD"/>
    <w:rsid w:val="296543A4"/>
    <w:rsid w:val="29A0598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A14EA"/>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1B5F48"/>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A81D97"/>
    <w:rsid w:val="35C506A4"/>
    <w:rsid w:val="35EB5C31"/>
    <w:rsid w:val="35FF348B"/>
    <w:rsid w:val="36193EBC"/>
    <w:rsid w:val="363745F6"/>
    <w:rsid w:val="36512587"/>
    <w:rsid w:val="366A2C0A"/>
    <w:rsid w:val="3690682E"/>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13DAE"/>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4F43D4"/>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0510E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7558E"/>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71F69"/>
    <w:rsid w:val="465F614C"/>
    <w:rsid w:val="468123C6"/>
    <w:rsid w:val="46A41C10"/>
    <w:rsid w:val="46BC1650"/>
    <w:rsid w:val="470D1EAB"/>
    <w:rsid w:val="4756003B"/>
    <w:rsid w:val="475D2C64"/>
    <w:rsid w:val="479C6D8B"/>
    <w:rsid w:val="47B642F1"/>
    <w:rsid w:val="47BE3674"/>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CA00E4"/>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0C7C04"/>
    <w:rsid w:val="4E4F1B9B"/>
    <w:rsid w:val="4E8741C6"/>
    <w:rsid w:val="4E8E0D5D"/>
    <w:rsid w:val="4EA97825"/>
    <w:rsid w:val="4ECE0172"/>
    <w:rsid w:val="4ED84B4D"/>
    <w:rsid w:val="4EDD6607"/>
    <w:rsid w:val="4EEB653A"/>
    <w:rsid w:val="4EFA7318"/>
    <w:rsid w:val="4F0C1D3E"/>
    <w:rsid w:val="4F0C63A5"/>
    <w:rsid w:val="4F31437C"/>
    <w:rsid w:val="4F553505"/>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928BA"/>
    <w:rsid w:val="538C3DBD"/>
    <w:rsid w:val="53994B4A"/>
    <w:rsid w:val="53B36EAB"/>
    <w:rsid w:val="53EE24D0"/>
    <w:rsid w:val="54267CA2"/>
    <w:rsid w:val="542E16B3"/>
    <w:rsid w:val="54344177"/>
    <w:rsid w:val="544140E5"/>
    <w:rsid w:val="54631F9D"/>
    <w:rsid w:val="54907B68"/>
    <w:rsid w:val="54AC3462"/>
    <w:rsid w:val="54C17E31"/>
    <w:rsid w:val="54C94F38"/>
    <w:rsid w:val="54D60DB0"/>
    <w:rsid w:val="55022203"/>
    <w:rsid w:val="55A17305"/>
    <w:rsid w:val="55AE1B1A"/>
    <w:rsid w:val="55EC0491"/>
    <w:rsid w:val="55F71430"/>
    <w:rsid w:val="562A0E65"/>
    <w:rsid w:val="56306A59"/>
    <w:rsid w:val="563F39B0"/>
    <w:rsid w:val="566E3FE9"/>
    <w:rsid w:val="567053AF"/>
    <w:rsid w:val="56824C41"/>
    <w:rsid w:val="575E2B2D"/>
    <w:rsid w:val="576378C6"/>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604280"/>
    <w:rsid w:val="5AC11897"/>
    <w:rsid w:val="5BF846A1"/>
    <w:rsid w:val="5C1F2DD9"/>
    <w:rsid w:val="5C2A0B83"/>
    <w:rsid w:val="5C471564"/>
    <w:rsid w:val="5C8F0B8C"/>
    <w:rsid w:val="5C8F6A67"/>
    <w:rsid w:val="5CC11929"/>
    <w:rsid w:val="5CC2508E"/>
    <w:rsid w:val="5CDA72D3"/>
    <w:rsid w:val="5D187246"/>
    <w:rsid w:val="5D2D2791"/>
    <w:rsid w:val="5D350482"/>
    <w:rsid w:val="5D435D1D"/>
    <w:rsid w:val="5D794F45"/>
    <w:rsid w:val="5D86262B"/>
    <w:rsid w:val="5DA70E69"/>
    <w:rsid w:val="5DAB687E"/>
    <w:rsid w:val="5DF1166D"/>
    <w:rsid w:val="5DFE16F5"/>
    <w:rsid w:val="5E1436C8"/>
    <w:rsid w:val="5E211941"/>
    <w:rsid w:val="5E744A50"/>
    <w:rsid w:val="5E8E5183"/>
    <w:rsid w:val="5EC41D86"/>
    <w:rsid w:val="5ECB647C"/>
    <w:rsid w:val="5ED56A95"/>
    <w:rsid w:val="5EDD61AF"/>
    <w:rsid w:val="5F011E9E"/>
    <w:rsid w:val="5F2B2A77"/>
    <w:rsid w:val="5F3523ED"/>
    <w:rsid w:val="5F612B5C"/>
    <w:rsid w:val="5F872A58"/>
    <w:rsid w:val="5FBC7B73"/>
    <w:rsid w:val="603910DA"/>
    <w:rsid w:val="60681AA9"/>
    <w:rsid w:val="607322A7"/>
    <w:rsid w:val="60F36ADC"/>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42B59"/>
    <w:rsid w:val="66504CE3"/>
    <w:rsid w:val="6655487D"/>
    <w:rsid w:val="667F048D"/>
    <w:rsid w:val="6699621D"/>
    <w:rsid w:val="66A56941"/>
    <w:rsid w:val="66BB693E"/>
    <w:rsid w:val="66F43704"/>
    <w:rsid w:val="671408F3"/>
    <w:rsid w:val="677F6056"/>
    <w:rsid w:val="67B53825"/>
    <w:rsid w:val="681A37E2"/>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233E7E"/>
    <w:rsid w:val="6E5042A8"/>
    <w:rsid w:val="6E557B10"/>
    <w:rsid w:val="6E6E06E9"/>
    <w:rsid w:val="6E786ABC"/>
    <w:rsid w:val="6E91041D"/>
    <w:rsid w:val="6E9461B0"/>
    <w:rsid w:val="6EB81E4D"/>
    <w:rsid w:val="6EB82830"/>
    <w:rsid w:val="6ECD58F9"/>
    <w:rsid w:val="6ECF78C3"/>
    <w:rsid w:val="6F1D2190"/>
    <w:rsid w:val="6F366D76"/>
    <w:rsid w:val="6F711063"/>
    <w:rsid w:val="6F894A4A"/>
    <w:rsid w:val="6FA40502"/>
    <w:rsid w:val="6FD35191"/>
    <w:rsid w:val="6FFD045F"/>
    <w:rsid w:val="700E0FA8"/>
    <w:rsid w:val="702B1923"/>
    <w:rsid w:val="70936D43"/>
    <w:rsid w:val="70B77024"/>
    <w:rsid w:val="70F81FDA"/>
    <w:rsid w:val="71072C18"/>
    <w:rsid w:val="711B73D3"/>
    <w:rsid w:val="712612F0"/>
    <w:rsid w:val="713A58D2"/>
    <w:rsid w:val="714A1C1F"/>
    <w:rsid w:val="71B7463E"/>
    <w:rsid w:val="71CE1B51"/>
    <w:rsid w:val="71DC5E53"/>
    <w:rsid w:val="71F87130"/>
    <w:rsid w:val="71FB066A"/>
    <w:rsid w:val="72A27351"/>
    <w:rsid w:val="72CC4119"/>
    <w:rsid w:val="72EF2AA3"/>
    <w:rsid w:val="733221CE"/>
    <w:rsid w:val="7375655F"/>
    <w:rsid w:val="73BF47DD"/>
    <w:rsid w:val="73F61362"/>
    <w:rsid w:val="74035919"/>
    <w:rsid w:val="743D707D"/>
    <w:rsid w:val="745A5E80"/>
    <w:rsid w:val="747D1B6F"/>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B94F83"/>
    <w:rsid w:val="7AC35E02"/>
    <w:rsid w:val="7B15123B"/>
    <w:rsid w:val="7B6F2841"/>
    <w:rsid w:val="7B902188"/>
    <w:rsid w:val="7B933A26"/>
    <w:rsid w:val="7B94598A"/>
    <w:rsid w:val="7B9A1258"/>
    <w:rsid w:val="7BAE6AB2"/>
    <w:rsid w:val="7BBA5457"/>
    <w:rsid w:val="7BF24BF0"/>
    <w:rsid w:val="7BFD56DB"/>
    <w:rsid w:val="7C0E7550"/>
    <w:rsid w:val="7C110C5B"/>
    <w:rsid w:val="7C3945CD"/>
    <w:rsid w:val="7C542C44"/>
    <w:rsid w:val="7C806D20"/>
    <w:rsid w:val="7CB06670"/>
    <w:rsid w:val="7D02742F"/>
    <w:rsid w:val="7D1D4F36"/>
    <w:rsid w:val="7D317BBA"/>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AC50B6"/>
    <w:rsid w:val="7FB534D6"/>
    <w:rsid w:val="7FB66DFD"/>
    <w:rsid w:val="7FD802B3"/>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4945</Words>
  <Characters>5196</Characters>
  <Lines>0</Lines>
  <Paragraphs>0</Paragraphs>
  <TotalTime>7</TotalTime>
  <ScaleCrop>false</ScaleCrop>
  <LinksUpToDate>false</LinksUpToDate>
  <CharactersWithSpaces>5262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dcterms:modified xsi:type="dcterms:W3CDTF">2024-09-18T06:10:58Z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0D08307DBDE94585A8D5A7AD7E48D81B_13</vt:lpwstr>
  </property>
</Properties>
</file>