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1FDA5">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bookmarkStart w:id="0" w:name="OLE_LINK2"/>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天津市宝坻区新安镇医院</w:t>
      </w:r>
    </w:p>
    <w:bookmarkEnd w:id="0"/>
    <w:p w14:paraId="12F1FD2C">
      <w:pPr>
        <w:keepNext w:val="0"/>
        <w:keepLines w:val="0"/>
        <w:pageBreakBefore w:val="0"/>
        <w:widowControl w:val="0"/>
        <w:shd w:val="clea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p>
    <w:p w14:paraId="2965C31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一、科室设置：</w:t>
      </w:r>
    </w:p>
    <w:p w14:paraId="5354616C">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临床科室：</w:t>
      </w:r>
      <w:r>
        <w:rPr>
          <w:rFonts w:hint="eastAsia" w:ascii="微软雅黑" w:hAnsi="微软雅黑" w:eastAsia="微软雅黑" w:cs="微软雅黑"/>
          <w:sz w:val="21"/>
          <w:szCs w:val="21"/>
          <w:lang w:eastAsia="zh-CN"/>
        </w:rPr>
        <w:t>全科、</w:t>
      </w:r>
      <w:r>
        <w:rPr>
          <w:rFonts w:hint="eastAsia" w:ascii="微软雅黑" w:hAnsi="微软雅黑" w:eastAsia="微软雅黑" w:cs="微软雅黑"/>
          <w:sz w:val="21"/>
          <w:szCs w:val="21"/>
        </w:rPr>
        <w:t>内科、外科、</w:t>
      </w:r>
      <w:r>
        <w:rPr>
          <w:rFonts w:hint="eastAsia" w:ascii="微软雅黑" w:hAnsi="微软雅黑" w:eastAsia="微软雅黑" w:cs="微软雅黑"/>
          <w:sz w:val="21"/>
          <w:szCs w:val="21"/>
          <w:lang w:eastAsia="zh-CN"/>
        </w:rPr>
        <w:t>急诊、</w:t>
      </w:r>
      <w:r>
        <w:rPr>
          <w:rFonts w:hint="eastAsia" w:ascii="微软雅黑" w:hAnsi="微软雅黑" w:eastAsia="微软雅黑" w:cs="微软雅黑"/>
          <w:sz w:val="21"/>
          <w:szCs w:val="21"/>
        </w:rPr>
        <w:t>中医科、精神科、口腔科、</w:t>
      </w:r>
      <w:r>
        <w:rPr>
          <w:rFonts w:hint="eastAsia" w:ascii="微软雅黑" w:hAnsi="微软雅黑" w:eastAsia="微软雅黑" w:cs="微软雅黑"/>
          <w:sz w:val="21"/>
          <w:szCs w:val="21"/>
          <w:lang w:eastAsia="zh-CN"/>
        </w:rPr>
        <w:t>药房</w:t>
      </w:r>
      <w:r>
        <w:rPr>
          <w:rFonts w:hint="eastAsia" w:ascii="微软雅黑" w:hAnsi="微软雅黑" w:eastAsia="微软雅黑" w:cs="微软雅黑"/>
          <w:sz w:val="21"/>
          <w:szCs w:val="21"/>
        </w:rPr>
        <w:t>、检验科、超声科、放射科、</w:t>
      </w:r>
      <w:r>
        <w:rPr>
          <w:rFonts w:hint="eastAsia" w:ascii="微软雅黑" w:hAnsi="微软雅黑" w:eastAsia="微软雅黑" w:cs="微软雅黑"/>
          <w:sz w:val="21"/>
          <w:szCs w:val="21"/>
          <w:lang w:eastAsia="zh-CN"/>
        </w:rPr>
        <w:t>儿童</w:t>
      </w:r>
      <w:r>
        <w:rPr>
          <w:rFonts w:hint="eastAsia" w:ascii="微软雅黑" w:hAnsi="微软雅黑" w:eastAsia="微软雅黑" w:cs="微软雅黑"/>
          <w:sz w:val="21"/>
          <w:szCs w:val="21"/>
        </w:rPr>
        <w:t>预防</w:t>
      </w:r>
      <w:r>
        <w:rPr>
          <w:rFonts w:hint="eastAsia" w:ascii="微软雅黑" w:hAnsi="微软雅黑" w:eastAsia="微软雅黑" w:cs="微软雅黑"/>
          <w:sz w:val="21"/>
          <w:szCs w:val="21"/>
          <w:lang w:eastAsia="zh-CN"/>
        </w:rPr>
        <w:t>保健</w:t>
      </w:r>
      <w:r>
        <w:rPr>
          <w:rFonts w:hint="eastAsia" w:ascii="微软雅黑" w:hAnsi="微软雅黑" w:eastAsia="微软雅黑" w:cs="微软雅黑"/>
          <w:sz w:val="21"/>
          <w:szCs w:val="21"/>
        </w:rPr>
        <w:t>科、</w:t>
      </w:r>
      <w:r>
        <w:rPr>
          <w:rFonts w:hint="eastAsia" w:ascii="微软雅黑" w:hAnsi="微软雅黑" w:eastAsia="微软雅黑" w:cs="微软雅黑"/>
          <w:sz w:val="21"/>
          <w:szCs w:val="21"/>
          <w:lang w:eastAsia="zh-CN"/>
        </w:rPr>
        <w:t>公共卫生科、心电图室、</w:t>
      </w:r>
      <w:r>
        <w:rPr>
          <w:rFonts w:hint="eastAsia" w:ascii="微软雅黑" w:hAnsi="微软雅黑" w:eastAsia="微软雅黑" w:cs="微软雅黑"/>
          <w:sz w:val="21"/>
          <w:szCs w:val="21"/>
        </w:rPr>
        <w:t>门诊护理部。</w:t>
      </w:r>
    </w:p>
    <w:p w14:paraId="20D403F9">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职能科室：办公室、</w:t>
      </w:r>
      <w:r>
        <w:rPr>
          <w:rFonts w:hint="eastAsia" w:ascii="微软雅黑" w:hAnsi="微软雅黑" w:eastAsia="微软雅黑" w:cs="微软雅黑"/>
          <w:sz w:val="21"/>
          <w:szCs w:val="21"/>
          <w:lang w:eastAsia="zh-CN"/>
        </w:rPr>
        <w:t>会计室</w:t>
      </w:r>
      <w:r>
        <w:rPr>
          <w:rFonts w:hint="eastAsia" w:ascii="微软雅黑" w:hAnsi="微软雅黑" w:eastAsia="微软雅黑" w:cs="微软雅黑"/>
          <w:sz w:val="21"/>
          <w:szCs w:val="21"/>
        </w:rPr>
        <w:t>、院感科</w:t>
      </w:r>
      <w:r>
        <w:rPr>
          <w:rFonts w:hint="eastAsia" w:ascii="微软雅黑" w:hAnsi="微软雅黑" w:eastAsia="微软雅黑" w:cs="微软雅黑"/>
          <w:sz w:val="21"/>
          <w:szCs w:val="21"/>
          <w:lang w:eastAsia="zh-CN"/>
        </w:rPr>
        <w:t>、医保科</w:t>
      </w:r>
    </w:p>
    <w:p w14:paraId="5BF4AC6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二</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公共服务职能：</w:t>
      </w:r>
    </w:p>
    <w:p w14:paraId="6BC49A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承担疾病预防等公共卫生服务和一般常见病、多发病的基本医疗服务；负责辖区预防、保健、医疗、康复、健康教育、妇女保健和计划生育服务等工作；承担卫生计生监督协管工作，接受区卫生计生综合监督所、街道卫生和计划生育办公室的业务指导。</w:t>
      </w:r>
    </w:p>
    <w:p w14:paraId="0999C9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三、</w:t>
      </w:r>
      <w:r>
        <w:rPr>
          <w:rFonts w:hint="eastAsia" w:ascii="微软雅黑" w:hAnsi="微软雅黑" w:eastAsia="微软雅黑" w:cs="微软雅黑"/>
          <w:b w:val="0"/>
          <w:bCs/>
          <w:color w:val="000000" w:themeColor="text1"/>
          <w:sz w:val="21"/>
          <w:szCs w:val="21"/>
          <w14:textFill>
            <w14:solidFill>
              <w14:schemeClr w14:val="tx1"/>
            </w14:solidFill>
          </w14:textFill>
        </w:rPr>
        <w:t>服务内容</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p>
    <w:p w14:paraId="5196A5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一</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）医疗服务</w:t>
      </w:r>
    </w:p>
    <w:p w14:paraId="38D43E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常见病、多发病、慢性病诊疗，康复诊疗、出诊及转诊。</w:t>
      </w:r>
    </w:p>
    <w:p w14:paraId="6B645DB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20" w:firstLineChars="200"/>
        <w:jc w:val="left"/>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医联体合作机构</w:t>
      </w:r>
    </w:p>
    <w:p w14:paraId="1CF733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天津市</w:t>
      </w:r>
      <w:r>
        <w:rPr>
          <w:rFonts w:hint="eastAsia" w:ascii="微软雅黑" w:hAnsi="微软雅黑" w:eastAsia="微软雅黑" w:cs="微软雅黑"/>
          <w:color w:val="000000" w:themeColor="text1"/>
          <w:sz w:val="21"/>
          <w:szCs w:val="21"/>
          <w:lang w:eastAsia="zh-CN"/>
          <w14:textFill>
            <w14:solidFill>
              <w14:schemeClr w14:val="tx1"/>
            </w14:solidFill>
          </w14:textFill>
        </w:rPr>
        <w:t>宝坻区人民医院</w:t>
      </w:r>
    </w:p>
    <w:p w14:paraId="4F8103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（三）基本公共卫生服务</w:t>
      </w:r>
    </w:p>
    <w:p w14:paraId="0E097F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val="en-US" w:eastAsia="zh-CN"/>
        </w:rPr>
        <w:t>公共卫生科</w:t>
      </w:r>
    </w:p>
    <w:p w14:paraId="5F26B6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服务内容：老年人健康管理、高血压患者健康管理、糖尿病患者健康管理、严重精神障碍健康管理、中医药健康管理、健康素养促进行动、心脑血管疾病筛查、大肠癌筛查。每年定期开展老年人、慢病居民健康查体工作，通过公众号、网格群通知居民预约查体。每季度为慢病居民进行随访。</w:t>
      </w:r>
    </w:p>
    <w:p w14:paraId="46F501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sz w:val="21"/>
          <w:szCs w:val="21"/>
          <w:lang w:val="en-US" w:eastAsia="zh-CN"/>
        </w:rPr>
        <w:t>（2）家庭医生签约：我中心建立9个家庭医生团队，提供家庭医生签约服务，为有需要的居民提供出诊服务，以及健康指导服务。具体</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责任医生、服务区域</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范围如下：</w:t>
      </w:r>
    </w:p>
    <w:tbl>
      <w:tblPr>
        <w:tblStyle w:val="3"/>
        <w:tblW w:w="9360" w:type="dxa"/>
        <w:tblInd w:w="-1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020"/>
        <w:gridCol w:w="5850"/>
        <w:gridCol w:w="1665"/>
      </w:tblGrid>
      <w:tr w14:paraId="38A8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A3E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8DC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团队长</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A12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管理范围</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0CC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联系方式</w:t>
            </w:r>
          </w:p>
        </w:tc>
      </w:tr>
      <w:tr w14:paraId="63543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EF8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D60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sz w:val="21"/>
                <w:szCs w:val="21"/>
                <w:u w:val="none"/>
                <w:lang w:val="en-US" w:eastAsia="zh-CN"/>
              </w:rPr>
              <w:t>高俊海</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033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王善庄、南家庄、工部</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521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13502118559</w:t>
            </w:r>
          </w:p>
        </w:tc>
      </w:tr>
      <w:tr w14:paraId="755C9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E49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49C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sz w:val="21"/>
                <w:szCs w:val="21"/>
                <w:u w:val="none"/>
                <w:lang w:val="en-US" w:eastAsia="zh-CN"/>
              </w:rPr>
              <w:t>郎山伟</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F86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张家庄、北申村、八间房村、南业前村、南业西村、艾家口村、李家庄村、窑上村、老艾村、马厂村、作家铺村、</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9EF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13662194755</w:t>
            </w:r>
          </w:p>
        </w:tc>
      </w:tr>
      <w:tr w14:paraId="23546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35E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90F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sz w:val="21"/>
                <w:szCs w:val="21"/>
                <w:u w:val="none"/>
                <w:lang w:val="en-US" w:eastAsia="zh-CN"/>
              </w:rPr>
              <w:t>高立民</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609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于家口村、李家口村、孙家口村、大苑庄村、梁家庄村、曹家口村、马庄村、新安镇村、南业东村</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CEE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18322344200</w:t>
            </w:r>
          </w:p>
        </w:tc>
      </w:tr>
    </w:tbl>
    <w:p w14:paraId="51D8C44F">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2、预防保健科</w:t>
      </w:r>
    </w:p>
    <w:p w14:paraId="629E187A">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1）服务内容：健康教育、预防接种、儿童健康管理、结核病患者健康管理、传染病疫情和突发公共卫生事件报告和处理、卫生计生监督协管、乙肝密切接触者疫苗接种、地方病筛查。其中儿童健康管理服务包括儿童体检，脑瘫、孤独症筛查、NBNA发育评估，健康指导。</w:t>
      </w:r>
    </w:p>
    <w:p w14:paraId="14309E10">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（2）开设检验项目：血常规、黄疸检测、维生素D检测、铁蛋白、微量元素、维生素D基因检测。</w:t>
      </w:r>
    </w:p>
    <w:p w14:paraId="107DA749">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（3）预约诊疗：手机微信天津预防接种公众号→添加儿童信息→设置</w:t>
      </w:r>
      <w:r>
        <w:rPr>
          <w:rFonts w:hint="eastAsia" w:ascii="微软雅黑" w:hAnsi="微软雅黑" w:eastAsia="微软雅黑" w:cs="微软雅黑"/>
          <w:sz w:val="21"/>
          <w:szCs w:val="21"/>
          <w:lang w:val="en-US" w:eastAsia="zh-CN"/>
        </w:rPr>
        <w:t>新安镇医院</w:t>
      </w:r>
      <w:r>
        <w:rPr>
          <w:rFonts w:hint="eastAsia" w:ascii="微软雅黑" w:hAnsi="微软雅黑" w:eastAsia="微软雅黑" w:cs="微软雅黑"/>
          <w:sz w:val="21"/>
          <w:szCs w:val="21"/>
        </w:rPr>
        <w:t>接种单位→选择预约日期→选择预约时间段。联系方式：</w:t>
      </w:r>
      <w:r>
        <w:rPr>
          <w:rFonts w:hint="eastAsia" w:ascii="微软雅黑" w:hAnsi="微软雅黑" w:eastAsia="微软雅黑" w:cs="微软雅黑"/>
          <w:sz w:val="21"/>
          <w:szCs w:val="21"/>
          <w:lang w:val="en-US" w:eastAsia="zh-CN"/>
        </w:rPr>
        <w:t>13512298398</w:t>
      </w:r>
      <w:r>
        <w:rPr>
          <w:rFonts w:hint="eastAsia" w:ascii="微软雅黑" w:hAnsi="微软雅黑" w:eastAsia="微软雅黑" w:cs="微软雅黑"/>
          <w:sz w:val="21"/>
          <w:szCs w:val="21"/>
        </w:rPr>
        <w:t>1。</w:t>
      </w:r>
    </w:p>
    <w:p w14:paraId="49BAC107">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四、服务流程：</w:t>
      </w:r>
    </w:p>
    <w:p w14:paraId="5ED04037">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（一）胸痛中心：</w:t>
      </w:r>
      <w:r>
        <w:rPr>
          <w:rFonts w:hint="eastAsia" w:ascii="微软雅黑" w:hAnsi="微软雅黑" w:eastAsia="微软雅黑" w:cs="微软雅黑"/>
          <w:sz w:val="21"/>
          <w:szCs w:val="21"/>
        </w:rPr>
        <w:t>胸痛患者→预检分诊→胸痛诊室→绿色通道（先诊疗后付费）→120转诊</w:t>
      </w:r>
      <w:r>
        <w:rPr>
          <w:rFonts w:hint="eastAsia" w:ascii="微软雅黑" w:hAnsi="微软雅黑" w:eastAsia="微软雅黑" w:cs="微软雅黑"/>
          <w:sz w:val="21"/>
          <w:szCs w:val="21"/>
          <w:lang w:eastAsia="zh-CN"/>
        </w:rPr>
        <w:t>。</w:t>
      </w:r>
    </w:p>
    <w:p w14:paraId="7C4835FC">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双向转诊：门诊患者→接诊医生开转诊单→联系医联体医院做好对接→患者持转诊单到</w:t>
      </w:r>
      <w:r>
        <w:rPr>
          <w:rFonts w:hint="eastAsia" w:ascii="微软雅黑" w:hAnsi="微软雅黑" w:eastAsia="微软雅黑" w:cs="微软雅黑"/>
          <w:sz w:val="21"/>
          <w:szCs w:val="21"/>
          <w:lang w:eastAsia="zh-CN"/>
        </w:rPr>
        <w:t>宝坻区人民医院</w:t>
      </w:r>
      <w:r>
        <w:rPr>
          <w:rFonts w:hint="eastAsia" w:ascii="微软雅黑" w:hAnsi="微软雅黑" w:eastAsia="微软雅黑" w:cs="微软雅黑"/>
          <w:sz w:val="21"/>
          <w:szCs w:val="21"/>
        </w:rPr>
        <w:t>门诊大厅服务台。</w:t>
      </w:r>
    </w:p>
    <w:p w14:paraId="31AA18F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五、专业介绍：</w:t>
      </w:r>
    </w:p>
    <w:p w14:paraId="07DE48F0">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w:t>
      </w:r>
      <w:r>
        <w:rPr>
          <w:rFonts w:hint="eastAsia" w:ascii="微软雅黑" w:hAnsi="微软雅黑" w:eastAsia="微软雅黑" w:cs="微软雅黑"/>
          <w:sz w:val="21"/>
          <w:szCs w:val="21"/>
          <w:lang w:val="en-US" w:eastAsia="zh-CN"/>
        </w:rPr>
        <w:t>内科</w:t>
      </w:r>
    </w:p>
    <w:p w14:paraId="11CED2ED">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内科门诊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对辖区居民的常见病、多发病、慢性病的诊治，转诊，及健康教育工作</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开展幽门螺杆菌检测，并对阳性患者进行规范治疗。</w:t>
      </w:r>
    </w:p>
    <w:p w14:paraId="0E8E5AEE">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胸痛单元门诊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与上级</w:t>
      </w:r>
      <w:r>
        <w:rPr>
          <w:rFonts w:hint="eastAsia" w:ascii="微软雅黑" w:hAnsi="微软雅黑" w:eastAsia="微软雅黑" w:cs="微软雅黑"/>
          <w:color w:val="000000" w:themeColor="text1"/>
          <w:sz w:val="21"/>
          <w:szCs w:val="21"/>
          <w:lang w:eastAsia="zh-CN"/>
          <w14:textFill>
            <w14:solidFill>
              <w14:schemeClr w14:val="tx1"/>
            </w14:solidFill>
          </w14:textFill>
        </w:rPr>
        <w:t>宝坻区人民</w:t>
      </w:r>
      <w:r>
        <w:rPr>
          <w:rFonts w:hint="eastAsia" w:ascii="微软雅黑" w:hAnsi="微软雅黑" w:eastAsia="微软雅黑" w:cs="微软雅黑"/>
          <w:color w:val="000000" w:themeColor="text1"/>
          <w:sz w:val="21"/>
          <w:szCs w:val="21"/>
          <w14:textFill>
            <w14:solidFill>
              <w14:schemeClr w14:val="tx1"/>
            </w14:solidFill>
          </w14:textFill>
        </w:rPr>
        <w:t>医院建</w:t>
      </w:r>
      <w:r>
        <w:rPr>
          <w:rFonts w:hint="eastAsia" w:ascii="微软雅黑" w:hAnsi="微软雅黑" w:eastAsia="微软雅黑" w:cs="微软雅黑"/>
          <w:sz w:val="21"/>
          <w:szCs w:val="21"/>
        </w:rPr>
        <w:t>立上下级转诊关系，可及时快速鉴诊高危胸痛患者，做出相应处理，并半小时内转入上级医院。</w:t>
      </w:r>
    </w:p>
    <w:p w14:paraId="1F57B90F">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发热门诊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对居民呼吸道、胃肠道相关症状进行诊断及治疗，规范接诊流程，防范院内传染，开展支原体抗体、甲乙流抗原、新冠抗原检测，方便了居民就诊。</w:t>
      </w:r>
    </w:p>
    <w:p w14:paraId="74D82223">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糖尿病门诊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与</w:t>
      </w:r>
      <w:r>
        <w:rPr>
          <w:rFonts w:hint="eastAsia" w:ascii="微软雅黑" w:hAnsi="微软雅黑" w:eastAsia="微软雅黑" w:cs="微软雅黑"/>
          <w:color w:val="000000" w:themeColor="text1"/>
          <w:sz w:val="21"/>
          <w:szCs w:val="21"/>
          <w:lang w:eastAsia="zh-CN"/>
          <w14:textFill>
            <w14:solidFill>
              <w14:schemeClr w14:val="tx1"/>
            </w14:solidFill>
          </w14:textFill>
        </w:rPr>
        <w:t>宝坻区人民</w:t>
      </w:r>
      <w:r>
        <w:rPr>
          <w:rFonts w:hint="eastAsia" w:ascii="微软雅黑" w:hAnsi="微软雅黑" w:eastAsia="微软雅黑" w:cs="微软雅黑"/>
          <w:color w:val="000000" w:themeColor="text1"/>
          <w:sz w:val="21"/>
          <w:szCs w:val="21"/>
          <w14:textFill>
            <w14:solidFill>
              <w14:schemeClr w14:val="tx1"/>
            </w14:solidFill>
          </w14:textFill>
        </w:rPr>
        <w:t>医</w:t>
      </w:r>
      <w:r>
        <w:rPr>
          <w:rFonts w:hint="eastAsia" w:ascii="微软雅黑" w:hAnsi="微软雅黑" w:eastAsia="微软雅黑" w:cs="微软雅黑"/>
          <w:sz w:val="21"/>
          <w:szCs w:val="21"/>
        </w:rPr>
        <w:t>院建立联动，结合微医系统，对糖尿病病人实现监测血糖，调节血糖，筛查并发症，健康教育，上下级医院转诊的动态规范管理。</w:t>
      </w:r>
    </w:p>
    <w:p w14:paraId="7219B443">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（二）外科</w:t>
      </w:r>
    </w:p>
    <w:p w14:paraId="7EDEE505">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1、创伤性疾病：急性创伤的紧急处理包括包扎、缝合及一般的骨折外固定。</w:t>
      </w:r>
    </w:p>
    <w:p w14:paraId="1DD20625">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2、骨外科疾病:  颈肩痛、腰腿痛、腱鞘炎的疼痛性疾病的诊断及治疗。</w:t>
      </w:r>
    </w:p>
    <w:p w14:paraId="5A182A30">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3、普外科疾病:  阑尾炎、腹股沟疝、胆囊炎等疾病的鉴别诊断。</w:t>
      </w:r>
    </w:p>
    <w:p w14:paraId="76F8FB78">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4、肛肠科疾病:  内痔、外痔、混合痔、肛裂、肛旁脓肿的诊断。</w:t>
      </w:r>
    </w:p>
    <w:p w14:paraId="2A0D987A">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5、外科感染性疾病：疖、痈、蜂窝组织炎、丹毒的诊断及治疗。</w:t>
      </w:r>
    </w:p>
    <w:p w14:paraId="607818C0">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6、各种体表肿物的诊断及治疗。</w:t>
      </w:r>
    </w:p>
    <w:p w14:paraId="6FCF2986">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三</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妇产科</w:t>
      </w:r>
    </w:p>
    <w:p w14:paraId="5BC47BB1">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孕产妇保健及高危妊娠管理、妇女保健及妇科门诊常见病多发病的诊疗。异常子宫出血、月经不调、妇科炎性疾病等。产科提供孕期营养缺乏的治疗、产褥期保健、新生儿喂养及抚育、产后心理疏导等诊疗。</w:t>
      </w:r>
    </w:p>
    <w:p w14:paraId="4623B2B3">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孕检建册：我辖区已孕女性，带夫妻双方身份证原件、夫妻双方户口本原件或复印件、结婚证、房本、孕期所有检查报告单（包括B超单）工作日上午8:00-11:00均可办理。咨询电话：</w:t>
      </w:r>
      <w:r>
        <w:rPr>
          <w:rFonts w:hint="eastAsia" w:ascii="微软雅黑" w:hAnsi="微软雅黑" w:eastAsia="微软雅黑" w:cs="微软雅黑"/>
          <w:sz w:val="21"/>
          <w:szCs w:val="21"/>
          <w:lang w:val="en-US" w:eastAsia="zh-CN"/>
        </w:rPr>
        <w:t>18526498854</w:t>
      </w:r>
      <w:r>
        <w:rPr>
          <w:rFonts w:hint="eastAsia" w:ascii="微软雅黑" w:hAnsi="微软雅黑" w:eastAsia="微软雅黑" w:cs="微软雅黑"/>
          <w:sz w:val="21"/>
          <w:szCs w:val="21"/>
        </w:rPr>
        <w:t>。</w:t>
      </w:r>
    </w:p>
    <w:p w14:paraId="59F38C6E">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产检：每位建册的孕妇都拥有大夫给制定的个体化产检时间表，按照日期进行孕期产检。咨询电话：</w:t>
      </w:r>
      <w:r>
        <w:rPr>
          <w:rFonts w:hint="eastAsia" w:ascii="微软雅黑" w:hAnsi="微软雅黑" w:eastAsia="微软雅黑" w:cs="微软雅黑"/>
          <w:sz w:val="21"/>
          <w:szCs w:val="21"/>
          <w:lang w:val="en-US" w:eastAsia="zh-CN"/>
        </w:rPr>
        <w:t>1852</w:t>
      </w:r>
      <w:r>
        <w:rPr>
          <w:rFonts w:hint="eastAsia" w:ascii="微软雅黑" w:hAnsi="微软雅黑" w:eastAsia="微软雅黑" w:cs="微软雅黑"/>
          <w:sz w:val="21"/>
          <w:szCs w:val="21"/>
        </w:rPr>
        <w:t>。</w:t>
      </w:r>
    </w:p>
    <w:p w14:paraId="2E0F5F0B">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产后访视：产后新生儿及在家坐月子的产妇大夫会到家中做产后的一系列检查及指导。咨询电话：</w:t>
      </w:r>
      <w:r>
        <w:rPr>
          <w:rFonts w:hint="eastAsia" w:ascii="微软雅黑" w:hAnsi="微软雅黑" w:eastAsia="微软雅黑" w:cs="微软雅黑"/>
          <w:sz w:val="21"/>
          <w:szCs w:val="21"/>
          <w:lang w:val="en-US" w:eastAsia="zh-CN"/>
        </w:rPr>
        <w:t>18526498854</w:t>
      </w:r>
      <w:r>
        <w:rPr>
          <w:rFonts w:hint="eastAsia" w:ascii="微软雅黑" w:hAnsi="微软雅黑" w:eastAsia="微软雅黑" w:cs="微软雅黑"/>
          <w:sz w:val="21"/>
          <w:szCs w:val="21"/>
        </w:rPr>
        <w:t>。</w:t>
      </w:r>
    </w:p>
    <w:p w14:paraId="25E8692A">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（四）国医堂</w:t>
      </w:r>
    </w:p>
    <w:p w14:paraId="7AEF211F">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1、运用传统中医药治疗基层常见病、多发病：感冒、咳嗽、心悸、胸痹、胃脘痛、失眠、偏头痛、月经不调等。</w:t>
      </w:r>
    </w:p>
    <w:p w14:paraId="38DB53C0">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2、利用针药结合治疗疼痛类疾病：颈椎病、肩周炎、网球肘、腱鞘炎、腰肌劳损、腰椎间盘突出、骨性关节炎、中风后遗症等。</w:t>
      </w:r>
    </w:p>
    <w:p w14:paraId="411BE9AE">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3、开设中医康复治疗，目前我院主要开展脑出血、脑梗死等神经系统疾病后遗症的康复。</w:t>
      </w:r>
    </w:p>
    <w:p w14:paraId="4EC291EA">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4、开设小针刀、三九贴三伏贴、针灸、小儿推拿等治疗。</w:t>
      </w:r>
    </w:p>
    <w:p w14:paraId="3FA5838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七</w:t>
      </w:r>
      <w:r>
        <w:rPr>
          <w:rFonts w:hint="eastAsia" w:ascii="微软雅黑" w:hAnsi="微软雅黑" w:eastAsia="微软雅黑" w:cs="微软雅黑"/>
          <w:bCs/>
          <w:color w:val="000000" w:themeColor="text1"/>
          <w:sz w:val="21"/>
          <w:szCs w:val="21"/>
          <w14:textFill>
            <w14:solidFill>
              <w14:schemeClr w14:val="tx1"/>
            </w14:solidFill>
          </w14:textFill>
        </w:rPr>
        <w:t>、预约诊疗</w:t>
      </w:r>
      <w:r>
        <w:rPr>
          <w:rFonts w:hint="eastAsia" w:ascii="微软雅黑" w:hAnsi="微软雅黑" w:eastAsia="微软雅黑" w:cs="微软雅黑"/>
          <w:bCs/>
          <w:color w:val="000000" w:themeColor="text1"/>
          <w:sz w:val="21"/>
          <w:szCs w:val="21"/>
          <w14:textFill>
            <w14:solidFill>
              <w14:schemeClr w14:val="tx1"/>
            </w14:solidFill>
          </w14:textFill>
        </w:rPr>
        <w:t>：</w:t>
      </w:r>
    </w:p>
    <w:p w14:paraId="3E065BC5">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特需出诊：需上门服务的签约居民，与</w:t>
      </w:r>
      <w:r>
        <w:rPr>
          <w:rFonts w:hint="eastAsia" w:ascii="微软雅黑" w:hAnsi="微软雅黑" w:eastAsia="微软雅黑" w:cs="微软雅黑"/>
          <w:sz w:val="21"/>
          <w:szCs w:val="21"/>
          <w:lang w:eastAsia="zh-CN"/>
        </w:rPr>
        <w:t>家庭医生</w:t>
      </w:r>
      <w:r>
        <w:rPr>
          <w:rFonts w:hint="eastAsia" w:ascii="微软雅黑" w:hAnsi="微软雅黑" w:eastAsia="微软雅黑" w:cs="微软雅黑"/>
          <w:sz w:val="21"/>
          <w:szCs w:val="21"/>
        </w:rPr>
        <w:t>预约出诊时间，由家庭医生开具相关费用。出诊项目包括：导尿术、外科换药、胃管置管术、静脉</w:t>
      </w:r>
      <w:r>
        <w:rPr>
          <w:rFonts w:hint="eastAsia" w:ascii="微软雅黑" w:hAnsi="微软雅黑" w:eastAsia="微软雅黑" w:cs="微软雅黑"/>
          <w:sz w:val="21"/>
          <w:szCs w:val="21"/>
          <w:lang w:eastAsia="zh-CN"/>
        </w:rPr>
        <w:t>输液、</w:t>
      </w:r>
      <w:r>
        <w:rPr>
          <w:rFonts w:hint="eastAsia" w:ascii="微软雅黑" w:hAnsi="微软雅黑" w:eastAsia="微软雅黑" w:cs="微软雅黑"/>
          <w:sz w:val="21"/>
          <w:szCs w:val="21"/>
        </w:rPr>
        <w:t>采血</w:t>
      </w:r>
      <w:r>
        <w:rPr>
          <w:rFonts w:hint="eastAsia" w:ascii="微软雅黑" w:hAnsi="微软雅黑" w:eastAsia="微软雅黑" w:cs="微软雅黑"/>
          <w:sz w:val="21"/>
          <w:szCs w:val="21"/>
          <w:lang w:eastAsia="zh-CN"/>
        </w:rPr>
        <w:t>等</w:t>
      </w:r>
      <w:r>
        <w:rPr>
          <w:rFonts w:hint="eastAsia" w:ascii="微软雅黑" w:hAnsi="微软雅黑" w:eastAsia="微软雅黑" w:cs="微软雅黑"/>
          <w:sz w:val="21"/>
          <w:szCs w:val="21"/>
        </w:rPr>
        <w:t>。</w:t>
      </w:r>
    </w:p>
    <w:p w14:paraId="6616EB19">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八、检验检查：</w:t>
      </w:r>
    </w:p>
    <w:p w14:paraId="00A9BB93">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（一）超声科检查</w:t>
      </w:r>
    </w:p>
    <w:p w14:paraId="4F88A3B0">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1、检查项目：肝胆胰脾（腹部）、双肾膀胱及前列腺、子宫及附件、产科（胎儿一般情况）、乳腺，经颅多普勒，颈动脉，甲状腺，颈部，胃部，心脏，上，下肢血管，浅表皮肤。</w:t>
      </w:r>
    </w:p>
    <w:p w14:paraId="0DC7D5B5">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2、获取报告：一般普通门诊病人在检查完毕后30分钟内发放。有特殊情况时须向病人说明情况。</w:t>
      </w:r>
    </w:p>
    <w:p w14:paraId="1F2025DB">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3、超声检查注意事项：</w:t>
      </w:r>
    </w:p>
    <w:p w14:paraId="65F79B99">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（1）检查肝胆胰脾前晚食易消化食物，检查当天清晨空腹。</w:t>
      </w:r>
    </w:p>
    <w:p w14:paraId="66FC2DDE">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（2）检查膀胱前列腺时应憋尿，使膀胱充盈约½</w:t>
      </w:r>
    </w:p>
    <w:p w14:paraId="032A002D">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（3）子宫及附件检查，须憋尿，膀胱完全充盈方可检查。</w:t>
      </w:r>
    </w:p>
    <w:p w14:paraId="21DBF9DE">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 xml:space="preserve">胃部检查，需检查当天清晨空腹        </w:t>
      </w:r>
    </w:p>
    <w:p w14:paraId="0305C6A8">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经颅多普勒检查，颈部，甲状腺，颈动脉，</w:t>
      </w:r>
    </w:p>
    <w:p w14:paraId="57AC8814">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心脏，上下肢血管，浅表皮肤，胎儿，乳腺，以上检查无需特殊要求</w:t>
      </w:r>
      <w:r>
        <w:rPr>
          <w:rFonts w:hint="eastAsia" w:ascii="微软雅黑" w:hAnsi="微软雅黑" w:eastAsia="微软雅黑" w:cs="微软雅黑"/>
          <w:sz w:val="21"/>
          <w:szCs w:val="21"/>
          <w:lang w:eastAsia="zh-CN"/>
        </w:rPr>
        <w:t>。</w:t>
      </w:r>
    </w:p>
    <w:p w14:paraId="495BCAA8">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（二）检验科检查</w:t>
      </w:r>
    </w:p>
    <w:p w14:paraId="3034789C">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检查项目：血流变，肝肾功能，血脂，血糖，电解质，同型半胱氨酸，糖化血红蛋白，凝血四项，血常规，c反应蛋白，肺炎支原体，甲乙型流感病毒，风湿三项，尿常规，便常规，分泌物检测，人绒毛膜促性腺激素，铁蛋白，血型检测，心肌四项，β2微球蛋白，胱抑素c，D二聚体，磷脂酶A2，孕酮，白色念珠菌，肺炎衣原体，呼吸道合胞病毒，碳13，VD,叶酸，B12，胃功能四项，四毒，乙肝五项，梅毒，尿微量白蛋白，腺病毒。</w:t>
      </w:r>
    </w:p>
    <w:p w14:paraId="5590D235">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三</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放射科</w:t>
      </w:r>
    </w:p>
    <w:p w14:paraId="14032AB3">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放射科检查流程</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患者交完费→等待检查→检查结束</w:t>
      </w:r>
      <w:r>
        <w:rPr>
          <w:rFonts w:hint="eastAsia" w:ascii="微软雅黑" w:hAnsi="微软雅黑" w:eastAsia="微软雅黑" w:cs="微软雅黑"/>
          <w:sz w:val="21"/>
          <w:szCs w:val="21"/>
          <w:lang w:eastAsia="zh-CN"/>
        </w:rPr>
        <w:t>后等待领</w:t>
      </w:r>
      <w:r>
        <w:rPr>
          <w:rFonts w:hint="eastAsia" w:ascii="微软雅黑" w:hAnsi="微软雅黑" w:eastAsia="微软雅黑" w:cs="微软雅黑"/>
          <w:sz w:val="21"/>
          <w:szCs w:val="21"/>
        </w:rPr>
        <w:t>取报告→取完报告找接诊医生。</w:t>
      </w:r>
      <w:r>
        <w:rPr>
          <w:rFonts w:hint="eastAsia" w:ascii="微软雅黑" w:hAnsi="微软雅黑" w:eastAsia="微软雅黑" w:cs="微软雅黑"/>
          <w:sz w:val="21"/>
          <w:szCs w:val="21"/>
        </w:rPr>
        <w:tab/>
      </w:r>
    </w:p>
    <w:p w14:paraId="349236AD">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检查须知及注意事项：</w:t>
      </w:r>
    </w:p>
    <w:p w14:paraId="3EE20832">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在接受放射检查前，告知医生是否有药物过敏史及怀（备）孕情况。</w:t>
      </w:r>
    </w:p>
    <w:p w14:paraId="256AEFE3">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避免穿戴金属饰品或衣物，以免影响检查结果</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平时带的项链、耳钉、女士立胸、衣服上的金属饰品及纽扣。</w:t>
      </w:r>
    </w:p>
    <w:p w14:paraId="44E3C09A">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在四肢放射检查前，最好不要贴膏药，在骨科医生的允许情况下摘掉支具。</w:t>
      </w:r>
    </w:p>
    <w:p w14:paraId="51B9C752">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如果出现异常反应，如头晕、呕吐等不适，应当及时告知医生。</w:t>
      </w:r>
    </w:p>
    <w:p w14:paraId="77FA0FC9">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九</w:t>
      </w:r>
      <w:r>
        <w:rPr>
          <w:rFonts w:hint="eastAsia" w:ascii="微软雅黑" w:hAnsi="微软雅黑" w:eastAsia="微软雅黑" w:cs="微软雅黑"/>
          <w:sz w:val="21"/>
          <w:szCs w:val="21"/>
        </w:rPr>
        <w:t>、分级诊疗</w:t>
      </w:r>
    </w:p>
    <w:p w14:paraId="3F9B5BCF">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建立双向转诊关系的医院：</w:t>
      </w:r>
      <w:r>
        <w:rPr>
          <w:rFonts w:hint="eastAsia" w:ascii="微软雅黑" w:hAnsi="微软雅黑" w:eastAsia="微软雅黑" w:cs="微软雅黑"/>
          <w:sz w:val="21"/>
          <w:szCs w:val="21"/>
          <w:lang w:eastAsia="zh-CN"/>
        </w:rPr>
        <w:t>天津市宝坻区人民医院</w:t>
      </w:r>
    </w:p>
    <w:p w14:paraId="6BFD6458">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7D830A0A">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1C274537">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0292C95C">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203F1623">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79CEE49D">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00A2FC10">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0ED77A24">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11C723F7">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3D578FBD">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75376FCD">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368B03CE">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bookmarkStart w:id="1" w:name="_GoBack"/>
      <w:bookmarkEnd w:id="1"/>
      <w:r>
        <w:rPr>
          <w:rFonts w:hint="eastAsia" w:ascii="微软雅黑" w:hAnsi="微软雅黑" w:eastAsia="微软雅黑" w:cs="微软雅黑"/>
          <w:sz w:val="21"/>
          <w:szCs w:val="21"/>
          <w:lang w:val="en-US" w:eastAsia="zh-CN"/>
        </w:rPr>
        <w:t>新安镇医院</w:t>
      </w:r>
      <w:r>
        <w:rPr>
          <w:rFonts w:hint="eastAsia" w:ascii="微软雅黑" w:hAnsi="微软雅黑" w:eastAsia="微软雅黑" w:cs="微软雅黑"/>
          <w:sz w:val="21"/>
          <w:szCs w:val="21"/>
        </w:rPr>
        <w:t>双向转诊流程图</w:t>
      </w:r>
      <w:r>
        <w:rPr>
          <w:rFonts w:hint="eastAsia" w:ascii="微软雅黑" w:hAnsi="微软雅黑" w:eastAsia="微软雅黑" w:cs="微软雅黑"/>
          <w:sz w:val="21"/>
          <w:szCs w:val="21"/>
          <w:lang w:val="en-US" w:eastAsia="zh-CN"/>
        </w:rPr>
        <w:t>如下</w:t>
      </w:r>
      <w:r>
        <w:rPr>
          <w:rFonts w:hint="eastAsia" w:ascii="微软雅黑" w:hAnsi="微软雅黑" w:eastAsia="微软雅黑" w:cs="微软雅黑"/>
          <w:sz w:val="21"/>
          <w:szCs w:val="21"/>
          <w:lang w:eastAsia="zh-CN"/>
        </w:rPr>
        <w:t>：</w:t>
      </w:r>
    </w:p>
    <w:p w14:paraId="4D009C36">
      <w:pPr>
        <w:tabs>
          <w:tab w:val="left" w:pos="740"/>
        </w:tabs>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mc:AlternateContent>
          <mc:Choice Requires="wpg">
            <w:drawing>
              <wp:anchor distT="0" distB="0" distL="114300" distR="114300" simplePos="0" relativeHeight="251659264" behindDoc="0" locked="0" layoutInCell="1" allowOverlap="1">
                <wp:simplePos x="0" y="0"/>
                <wp:positionH relativeFrom="column">
                  <wp:posOffset>-222885</wp:posOffset>
                </wp:positionH>
                <wp:positionV relativeFrom="paragraph">
                  <wp:posOffset>269875</wp:posOffset>
                </wp:positionV>
                <wp:extent cx="5798820" cy="7058025"/>
                <wp:effectExtent l="4445" t="5080" r="6985" b="4445"/>
                <wp:wrapNone/>
                <wp:docPr id="85" name="组合 85"/>
                <wp:cNvGraphicFramePr/>
                <a:graphic xmlns:a="http://schemas.openxmlformats.org/drawingml/2006/main">
                  <a:graphicData uri="http://schemas.microsoft.com/office/word/2010/wordprocessingGroup">
                    <wpg:wgp>
                      <wpg:cNvGrpSpPr/>
                      <wpg:grpSpPr>
                        <a:xfrm>
                          <a:off x="0" y="0"/>
                          <a:ext cx="5798820" cy="7058025"/>
                          <a:chOff x="1449" y="3105"/>
                          <a:chExt cx="9132" cy="11115"/>
                        </a:xfrm>
                      </wpg:grpSpPr>
                      <wps:wsp>
                        <wps:cNvPr id="86" name="Text Box 86"/>
                        <wps:cNvSpPr txBox="1">
                          <a:spLocks noChangeArrowheads="1"/>
                        </wps:cNvSpPr>
                        <wps:spPr bwMode="auto">
                          <a:xfrm>
                            <a:off x="6315" y="8085"/>
                            <a:ext cx="3705" cy="525"/>
                          </a:xfrm>
                          <a:prstGeom prst="rect">
                            <a:avLst/>
                          </a:prstGeom>
                          <a:solidFill>
                            <a:srgbClr val="FFFFFF"/>
                          </a:solidFill>
                          <a:ln w="9525">
                            <a:solidFill>
                              <a:srgbClr val="000000"/>
                            </a:solidFill>
                            <a:miter lim="800000"/>
                          </a:ln>
                        </wps:spPr>
                        <wps:txbx>
                          <w:txbxContent>
                            <w:p w14:paraId="44806AF8">
                              <w:pPr>
                                <w:spacing w:line="276" w:lineRule="auto"/>
                                <w:jc w:val="center"/>
                                <w:rPr>
                                  <w:rFonts w:asciiTheme="minorEastAsia" w:hAnsiTheme="minorEastAsia"/>
                                  <w:szCs w:val="21"/>
                                </w:rPr>
                              </w:pPr>
                              <w:r>
                                <w:rPr>
                                  <w:rFonts w:hint="eastAsia" w:asciiTheme="minorEastAsia" w:hAnsiTheme="minorEastAsia"/>
                                  <w:szCs w:val="21"/>
                                </w:rPr>
                                <w:t>安排医生接诊</w:t>
                              </w:r>
                            </w:p>
                          </w:txbxContent>
                        </wps:txbx>
                        <wps:bodyPr rot="0" vert="horz" wrap="square" lIns="91440" tIns="45720" rIns="91440" bIns="45720" anchor="t" anchorCtr="0" upright="1">
                          <a:noAutofit/>
                        </wps:bodyPr>
                      </wps:wsp>
                      <wps:wsp>
                        <wps:cNvPr id="87" name="Text Box 87"/>
                        <wps:cNvSpPr txBox="1">
                          <a:spLocks noChangeArrowheads="1"/>
                        </wps:cNvSpPr>
                        <wps:spPr bwMode="auto">
                          <a:xfrm>
                            <a:off x="5577" y="9434"/>
                            <a:ext cx="2253" cy="481"/>
                          </a:xfrm>
                          <a:prstGeom prst="rect">
                            <a:avLst/>
                          </a:prstGeom>
                          <a:solidFill>
                            <a:srgbClr val="FFFFFF"/>
                          </a:solidFill>
                          <a:ln w="9525">
                            <a:solidFill>
                              <a:srgbClr val="000000"/>
                            </a:solidFill>
                            <a:miter lim="800000"/>
                          </a:ln>
                        </wps:spPr>
                        <wps:txbx>
                          <w:txbxContent>
                            <w:p w14:paraId="1A305C3F">
                              <w:pPr>
                                <w:spacing w:line="276" w:lineRule="auto"/>
                                <w:jc w:val="center"/>
                                <w:rPr>
                                  <w:rFonts w:asciiTheme="minorEastAsia" w:hAnsiTheme="minorEastAsia"/>
                                  <w:szCs w:val="21"/>
                                </w:rPr>
                              </w:pPr>
                              <w:r>
                                <w:rPr>
                                  <w:rFonts w:hint="eastAsia" w:asciiTheme="minorEastAsia" w:hAnsiTheme="minorEastAsia"/>
                                  <w:szCs w:val="21"/>
                                </w:rPr>
                                <w:t>患者需门诊诊治</w:t>
                              </w:r>
                            </w:p>
                          </w:txbxContent>
                        </wps:txbx>
                        <wps:bodyPr rot="0" vert="horz" wrap="square" lIns="91440" tIns="45720" rIns="91440" bIns="45720" anchor="t" anchorCtr="0" upright="1">
                          <a:noAutofit/>
                        </wps:bodyPr>
                      </wps:wsp>
                      <wps:wsp>
                        <wps:cNvPr id="88" name="Text Box 88"/>
                        <wps:cNvSpPr txBox="1">
                          <a:spLocks noChangeArrowheads="1"/>
                        </wps:cNvSpPr>
                        <wps:spPr bwMode="auto">
                          <a:xfrm>
                            <a:off x="5577" y="10425"/>
                            <a:ext cx="2253" cy="809"/>
                          </a:xfrm>
                          <a:prstGeom prst="rect">
                            <a:avLst/>
                          </a:prstGeom>
                          <a:solidFill>
                            <a:srgbClr val="FFFFFF"/>
                          </a:solidFill>
                          <a:ln w="9525">
                            <a:solidFill>
                              <a:srgbClr val="000000"/>
                            </a:solidFill>
                            <a:miter lim="800000"/>
                          </a:ln>
                        </wps:spPr>
                        <wps:txbx>
                          <w:txbxContent>
                            <w:p w14:paraId="1B851159">
                              <w:pPr>
                                <w:spacing w:line="276" w:lineRule="auto"/>
                                <w:jc w:val="center"/>
                                <w:rPr>
                                  <w:rFonts w:asciiTheme="minorEastAsia" w:hAnsiTheme="minorEastAsia"/>
                                  <w:szCs w:val="21"/>
                                </w:rPr>
                              </w:pPr>
                              <w:r>
                                <w:rPr>
                                  <w:rFonts w:hint="eastAsia" w:asciiTheme="minorEastAsia" w:hAnsiTheme="minorEastAsia"/>
                                  <w:szCs w:val="21"/>
                                </w:rPr>
                                <w:t>患者进行门诊</w:t>
                              </w:r>
                            </w:p>
                            <w:p w14:paraId="1DE602EB">
                              <w:pPr>
                                <w:spacing w:line="276" w:lineRule="auto"/>
                                <w:jc w:val="center"/>
                                <w:rPr>
                                  <w:rFonts w:asciiTheme="minorEastAsia" w:hAnsiTheme="minorEastAsia"/>
                                  <w:szCs w:val="21"/>
                                </w:rPr>
                              </w:pPr>
                              <w:r>
                                <w:rPr>
                                  <w:rFonts w:hint="eastAsia" w:asciiTheme="minorEastAsia" w:hAnsiTheme="minorEastAsia"/>
                                  <w:szCs w:val="21"/>
                                </w:rPr>
                                <w:t>诊治</w:t>
                              </w:r>
                            </w:p>
                          </w:txbxContent>
                        </wps:txbx>
                        <wps:bodyPr rot="0" vert="horz" wrap="square" lIns="91440" tIns="45720" rIns="91440" bIns="45720" anchor="ctr" anchorCtr="0" upright="1">
                          <a:noAutofit/>
                        </wps:bodyPr>
                      </wps:wsp>
                      <wps:wsp>
                        <wps:cNvPr id="89" name="Text Box 89"/>
                        <wps:cNvSpPr txBox="1">
                          <a:spLocks noChangeArrowheads="1"/>
                        </wps:cNvSpPr>
                        <wps:spPr bwMode="auto">
                          <a:xfrm>
                            <a:off x="5577" y="11655"/>
                            <a:ext cx="2253" cy="877"/>
                          </a:xfrm>
                          <a:prstGeom prst="rect">
                            <a:avLst/>
                          </a:prstGeom>
                          <a:solidFill>
                            <a:srgbClr val="FFFFFF"/>
                          </a:solidFill>
                          <a:ln w="9525">
                            <a:solidFill>
                              <a:srgbClr val="000000"/>
                            </a:solidFill>
                            <a:miter lim="800000"/>
                          </a:ln>
                        </wps:spPr>
                        <wps:txbx>
                          <w:txbxContent>
                            <w:p w14:paraId="772E9187">
                              <w:pPr>
                                <w:spacing w:line="276" w:lineRule="auto"/>
                                <w:jc w:val="left"/>
                                <w:rPr>
                                  <w:rFonts w:asciiTheme="minorEastAsia" w:hAnsiTheme="minorEastAsia"/>
                                  <w:szCs w:val="21"/>
                                </w:rPr>
                              </w:pPr>
                              <w:r>
                                <w:rPr>
                                  <w:rFonts w:hint="eastAsia" w:asciiTheme="minorEastAsia" w:hAnsiTheme="minorEastAsia"/>
                                  <w:szCs w:val="21"/>
                                </w:rPr>
                                <w:t>明确诊断，确定治疗</w:t>
                              </w:r>
                            </w:p>
                            <w:p w14:paraId="7448F912">
                              <w:pPr>
                                <w:spacing w:line="276" w:lineRule="auto"/>
                                <w:jc w:val="left"/>
                                <w:rPr>
                                  <w:rFonts w:asciiTheme="minorEastAsia" w:hAnsiTheme="minorEastAsia"/>
                                  <w:szCs w:val="21"/>
                                </w:rPr>
                              </w:pPr>
                              <w:r>
                                <w:rPr>
                                  <w:rFonts w:hint="eastAsia" w:asciiTheme="minorEastAsia" w:hAnsiTheme="minorEastAsia"/>
                                  <w:szCs w:val="21"/>
                                </w:rPr>
                                <w:t>方案，完成门诊转诊</w:t>
                              </w:r>
                            </w:p>
                          </w:txbxContent>
                        </wps:txbx>
                        <wps:bodyPr rot="0" vert="horz" wrap="square" lIns="91440" tIns="45720" rIns="91440" bIns="45720" anchor="t" anchorCtr="0" upright="1">
                          <a:spAutoFit/>
                        </wps:bodyPr>
                      </wps:wsp>
                      <wps:wsp>
                        <wps:cNvPr id="90" name="Text Box 90"/>
                        <wps:cNvSpPr txBox="1">
                          <a:spLocks noChangeArrowheads="1"/>
                        </wps:cNvSpPr>
                        <wps:spPr bwMode="auto">
                          <a:xfrm>
                            <a:off x="5577" y="12953"/>
                            <a:ext cx="2253" cy="1267"/>
                          </a:xfrm>
                          <a:prstGeom prst="rect">
                            <a:avLst/>
                          </a:prstGeom>
                          <a:solidFill>
                            <a:srgbClr val="FFFFFF"/>
                          </a:solidFill>
                          <a:ln w="9525">
                            <a:solidFill>
                              <a:srgbClr val="000000"/>
                            </a:solidFill>
                            <a:miter lim="800000"/>
                          </a:ln>
                        </wps:spPr>
                        <wps:txbx>
                          <w:txbxContent>
                            <w:p w14:paraId="31DF0FA6">
                              <w:pPr>
                                <w:spacing w:line="276" w:lineRule="auto"/>
                                <w:jc w:val="left"/>
                                <w:rPr>
                                  <w:rFonts w:asciiTheme="minorEastAsia" w:hAnsiTheme="minorEastAsia"/>
                                  <w:szCs w:val="21"/>
                                </w:rPr>
                              </w:pPr>
                              <w:r>
                                <w:rPr>
                                  <w:rFonts w:hint="eastAsia" w:asciiTheme="minorEastAsia" w:hAnsiTheme="minorEastAsia"/>
                                  <w:szCs w:val="21"/>
                                </w:rPr>
                                <w:t>门诊医生填写双向转</w:t>
                              </w:r>
                            </w:p>
                            <w:p w14:paraId="4004856F">
                              <w:pPr>
                                <w:spacing w:line="276" w:lineRule="auto"/>
                                <w:jc w:val="left"/>
                                <w:rPr>
                                  <w:rFonts w:asciiTheme="minorEastAsia" w:hAnsiTheme="minorEastAsia"/>
                                  <w:szCs w:val="21"/>
                                </w:rPr>
                              </w:pPr>
                              <w:r>
                                <w:rPr>
                                  <w:rFonts w:hint="eastAsia" w:asciiTheme="minorEastAsia" w:hAnsiTheme="minorEastAsia"/>
                                  <w:szCs w:val="21"/>
                                </w:rPr>
                                <w:t>诊下转单，提出治疗</w:t>
                              </w:r>
                            </w:p>
                            <w:p w14:paraId="3AB90797">
                              <w:pPr>
                                <w:spacing w:line="276" w:lineRule="auto"/>
                                <w:jc w:val="left"/>
                                <w:rPr>
                                  <w:rFonts w:asciiTheme="minorEastAsia" w:hAnsiTheme="minorEastAsia"/>
                                  <w:szCs w:val="21"/>
                                </w:rPr>
                              </w:pPr>
                              <w:r>
                                <w:rPr>
                                  <w:rFonts w:hint="eastAsia" w:asciiTheme="minorEastAsia" w:hAnsiTheme="minorEastAsia"/>
                                  <w:szCs w:val="21"/>
                                </w:rPr>
                                <w:t>意见及建议上交社区</w:t>
                              </w:r>
                            </w:p>
                          </w:txbxContent>
                        </wps:txbx>
                        <wps:bodyPr rot="0" vert="horz" wrap="square" lIns="91440" tIns="45720" rIns="91440" bIns="45720" anchor="t" anchorCtr="0" upright="1">
                          <a:noAutofit/>
                        </wps:bodyPr>
                      </wps:wsp>
                      <wps:wsp>
                        <wps:cNvPr id="91" name="Text Box 91"/>
                        <wps:cNvSpPr txBox="1">
                          <a:spLocks noChangeArrowheads="1"/>
                        </wps:cNvSpPr>
                        <wps:spPr bwMode="auto">
                          <a:xfrm>
                            <a:off x="8394" y="9434"/>
                            <a:ext cx="2166" cy="481"/>
                          </a:xfrm>
                          <a:prstGeom prst="rect">
                            <a:avLst/>
                          </a:prstGeom>
                          <a:solidFill>
                            <a:srgbClr val="FFFFFF"/>
                          </a:solidFill>
                          <a:ln w="9525">
                            <a:solidFill>
                              <a:srgbClr val="000000"/>
                            </a:solidFill>
                            <a:miter lim="800000"/>
                          </a:ln>
                        </wps:spPr>
                        <wps:txbx>
                          <w:txbxContent>
                            <w:p w14:paraId="1BF7791B">
                              <w:pPr>
                                <w:spacing w:line="276" w:lineRule="auto"/>
                                <w:jc w:val="center"/>
                              </w:pPr>
                              <w:r>
                                <w:rPr>
                                  <w:rFonts w:hint="eastAsia" w:asciiTheme="minorEastAsia" w:hAnsiTheme="minorEastAsia"/>
                                  <w:szCs w:val="21"/>
                                </w:rPr>
                                <w:t>患者需住院</w:t>
                              </w:r>
                            </w:p>
                          </w:txbxContent>
                        </wps:txbx>
                        <wps:bodyPr rot="0" vert="horz" wrap="square" lIns="91440" tIns="45720" rIns="91440" bIns="45720" anchor="t" anchorCtr="0" upright="1">
                          <a:noAutofit/>
                        </wps:bodyPr>
                      </wps:wsp>
                      <wps:wsp>
                        <wps:cNvPr id="92" name="Text Box 92"/>
                        <wps:cNvSpPr txBox="1">
                          <a:spLocks noChangeArrowheads="1"/>
                        </wps:cNvSpPr>
                        <wps:spPr bwMode="auto">
                          <a:xfrm>
                            <a:off x="8442" y="10425"/>
                            <a:ext cx="2139" cy="809"/>
                          </a:xfrm>
                          <a:prstGeom prst="rect">
                            <a:avLst/>
                          </a:prstGeom>
                          <a:solidFill>
                            <a:srgbClr val="FFFFFF"/>
                          </a:solidFill>
                          <a:ln w="9525">
                            <a:solidFill>
                              <a:srgbClr val="000000"/>
                            </a:solidFill>
                            <a:miter lim="800000"/>
                          </a:ln>
                        </wps:spPr>
                        <wps:txbx>
                          <w:txbxContent>
                            <w:p w14:paraId="74BF7DF5">
                              <w:pPr>
                                <w:spacing w:line="276" w:lineRule="auto"/>
                                <w:jc w:val="center"/>
                                <w:rPr>
                                  <w:rFonts w:asciiTheme="minorEastAsia" w:hAnsiTheme="minorEastAsia"/>
                                  <w:szCs w:val="21"/>
                                </w:rPr>
                              </w:pPr>
                              <w:r>
                                <w:rPr>
                                  <w:rFonts w:hint="eastAsia" w:asciiTheme="minorEastAsia" w:hAnsiTheme="minorEastAsia"/>
                                  <w:szCs w:val="21"/>
                                </w:rPr>
                                <w:t>安排转诊患者</w:t>
                              </w:r>
                            </w:p>
                            <w:p w14:paraId="6C5A0A9F">
                              <w:pPr>
                                <w:spacing w:line="276" w:lineRule="auto"/>
                                <w:jc w:val="center"/>
                                <w:rPr>
                                  <w:rFonts w:asciiTheme="minorEastAsia" w:hAnsiTheme="minorEastAsia"/>
                                  <w:szCs w:val="21"/>
                                </w:rPr>
                              </w:pPr>
                              <w:r>
                                <w:rPr>
                                  <w:rFonts w:hint="eastAsia" w:asciiTheme="minorEastAsia" w:hAnsiTheme="minorEastAsia"/>
                                  <w:szCs w:val="21"/>
                                </w:rPr>
                                <w:t>住院治疗</w:t>
                              </w:r>
                            </w:p>
                          </w:txbxContent>
                        </wps:txbx>
                        <wps:bodyPr rot="0" vert="horz" wrap="square" lIns="91440" tIns="45720" rIns="91440" bIns="45720" anchor="ctr" anchorCtr="0" upright="1">
                          <a:noAutofit/>
                        </wps:bodyPr>
                      </wps:wsp>
                      <wps:wsp>
                        <wps:cNvPr id="93" name="Text Box 93"/>
                        <wps:cNvSpPr txBox="1">
                          <a:spLocks noChangeArrowheads="1"/>
                        </wps:cNvSpPr>
                        <wps:spPr bwMode="auto">
                          <a:xfrm>
                            <a:off x="8394" y="11655"/>
                            <a:ext cx="2166" cy="877"/>
                          </a:xfrm>
                          <a:prstGeom prst="rect">
                            <a:avLst/>
                          </a:prstGeom>
                          <a:solidFill>
                            <a:srgbClr val="FFFFFF"/>
                          </a:solidFill>
                          <a:ln w="9525">
                            <a:solidFill>
                              <a:srgbClr val="000000"/>
                            </a:solidFill>
                            <a:miter lim="800000"/>
                          </a:ln>
                        </wps:spPr>
                        <wps:txbx>
                          <w:txbxContent>
                            <w:p w14:paraId="189471F1">
                              <w:pPr>
                                <w:spacing w:line="276" w:lineRule="auto"/>
                                <w:jc w:val="center"/>
                                <w:rPr>
                                  <w:rFonts w:asciiTheme="minorEastAsia" w:hAnsiTheme="minorEastAsia"/>
                                  <w:szCs w:val="21"/>
                                </w:rPr>
                              </w:pPr>
                              <w:r>
                                <w:rPr>
                                  <w:rFonts w:hint="eastAsia" w:asciiTheme="minorEastAsia" w:hAnsiTheme="minorEastAsia"/>
                                  <w:szCs w:val="21"/>
                                </w:rPr>
                                <w:t>患者病情稳定符</w:t>
                              </w:r>
                            </w:p>
                            <w:p w14:paraId="586A9C67">
                              <w:pPr>
                                <w:spacing w:line="276" w:lineRule="auto"/>
                                <w:jc w:val="center"/>
                                <w:rPr>
                                  <w:rFonts w:asciiTheme="minorEastAsia" w:hAnsiTheme="minorEastAsia"/>
                                  <w:szCs w:val="21"/>
                                </w:rPr>
                              </w:pPr>
                              <w:r>
                                <w:rPr>
                                  <w:rFonts w:hint="eastAsia" w:asciiTheme="minorEastAsia" w:hAnsiTheme="minorEastAsia"/>
                                  <w:szCs w:val="21"/>
                                </w:rPr>
                                <w:t>合转回社区指征</w:t>
                              </w:r>
                            </w:p>
                          </w:txbxContent>
                        </wps:txbx>
                        <wps:bodyPr rot="0" vert="horz" wrap="square" lIns="91440" tIns="45720" rIns="91440" bIns="45720" anchor="t" anchorCtr="0" upright="1">
                          <a:spAutoFit/>
                        </wps:bodyPr>
                      </wps:wsp>
                      <wps:wsp>
                        <wps:cNvPr id="94" name="Text Box 94"/>
                        <wps:cNvSpPr txBox="1">
                          <a:spLocks noChangeArrowheads="1"/>
                        </wps:cNvSpPr>
                        <wps:spPr bwMode="auto">
                          <a:xfrm>
                            <a:off x="8378" y="12953"/>
                            <a:ext cx="2182" cy="1235"/>
                          </a:xfrm>
                          <a:prstGeom prst="rect">
                            <a:avLst/>
                          </a:prstGeom>
                          <a:solidFill>
                            <a:srgbClr val="FFFFFF"/>
                          </a:solidFill>
                          <a:ln w="9525">
                            <a:solidFill>
                              <a:srgbClr val="000000"/>
                            </a:solidFill>
                            <a:miter lim="800000"/>
                          </a:ln>
                        </wps:spPr>
                        <wps:txbx>
                          <w:txbxContent>
                            <w:p w14:paraId="172C8223">
                              <w:pPr>
                                <w:spacing w:line="276" w:lineRule="auto"/>
                                <w:jc w:val="left"/>
                                <w:rPr>
                                  <w:rFonts w:asciiTheme="minorEastAsia" w:hAnsiTheme="minorEastAsia"/>
                                  <w:szCs w:val="21"/>
                                </w:rPr>
                              </w:pPr>
                              <w:r>
                                <w:rPr>
                                  <w:rFonts w:hint="eastAsia" w:asciiTheme="minorEastAsia" w:hAnsiTheme="minorEastAsia"/>
                                  <w:szCs w:val="21"/>
                                </w:rPr>
                                <w:t>住院医生填写出院</w:t>
                              </w:r>
                            </w:p>
                            <w:p w14:paraId="67500755">
                              <w:pPr>
                                <w:spacing w:line="276" w:lineRule="auto"/>
                                <w:jc w:val="left"/>
                                <w:rPr>
                                  <w:rFonts w:asciiTheme="minorEastAsia" w:hAnsiTheme="minorEastAsia"/>
                                  <w:szCs w:val="21"/>
                                </w:rPr>
                              </w:pPr>
                              <w:r>
                                <w:rPr>
                                  <w:rFonts w:hint="eastAsia" w:asciiTheme="minorEastAsia" w:hAnsiTheme="minorEastAsia"/>
                                  <w:szCs w:val="21"/>
                                </w:rPr>
                                <w:t>小结，提出治疗意</w:t>
                              </w:r>
                            </w:p>
                            <w:p w14:paraId="19A1CEC2">
                              <w:pPr>
                                <w:spacing w:line="276" w:lineRule="auto"/>
                                <w:jc w:val="left"/>
                                <w:rPr>
                                  <w:rFonts w:asciiTheme="minorEastAsia" w:hAnsiTheme="minorEastAsia"/>
                                  <w:szCs w:val="21"/>
                                </w:rPr>
                              </w:pPr>
                              <w:r>
                                <w:rPr>
                                  <w:rFonts w:hint="eastAsia" w:asciiTheme="minorEastAsia" w:hAnsiTheme="minorEastAsia"/>
                                  <w:szCs w:val="21"/>
                                </w:rPr>
                                <w:t>见及建议上交社区</w:t>
                              </w:r>
                            </w:p>
                          </w:txbxContent>
                        </wps:txbx>
                        <wps:bodyPr rot="0" vert="horz" wrap="square" lIns="91440" tIns="45720" rIns="91440" bIns="45720" anchor="t" anchorCtr="0" upright="1">
                          <a:spAutoFit/>
                        </wps:bodyPr>
                      </wps:wsp>
                      <wps:wsp>
                        <wps:cNvPr id="95" name="Text Box 95"/>
                        <wps:cNvSpPr txBox="1">
                          <a:spLocks noChangeArrowheads="1"/>
                        </wps:cNvSpPr>
                        <wps:spPr bwMode="auto">
                          <a:xfrm>
                            <a:off x="1470" y="7095"/>
                            <a:ext cx="9111" cy="518"/>
                          </a:xfrm>
                          <a:prstGeom prst="rect">
                            <a:avLst/>
                          </a:prstGeom>
                          <a:solidFill>
                            <a:srgbClr val="FFFFFF"/>
                          </a:solidFill>
                          <a:ln w="9525">
                            <a:solidFill>
                              <a:srgbClr val="000000"/>
                            </a:solidFill>
                            <a:miter lim="800000"/>
                          </a:ln>
                        </wps:spPr>
                        <wps:txbx>
                          <w:txbxContent>
                            <w:p w14:paraId="57679A27">
                              <w:pPr>
                                <w:spacing w:line="276" w:lineRule="auto"/>
                                <w:jc w:val="center"/>
                                <w:rPr>
                                  <w:rFonts w:asciiTheme="minorEastAsia" w:hAnsiTheme="minorEastAsia"/>
                                  <w:szCs w:val="21"/>
                                </w:rPr>
                              </w:pPr>
                              <w:r>
                                <w:rPr>
                                  <w:rFonts w:hint="eastAsia" w:asciiTheme="minorEastAsia" w:hAnsiTheme="minorEastAsia"/>
                                  <w:b/>
                                  <w:color w:val="FF0000"/>
                                  <w:szCs w:val="21"/>
                                </w:rPr>
                                <w:t xml:space="preserve">                      </w:t>
                              </w:r>
                              <w:r>
                                <w:rPr>
                                  <w:rFonts w:hint="eastAsia" w:asciiTheme="minorEastAsia" w:hAnsiTheme="minorEastAsia"/>
                                  <w:b/>
                                  <w:color w:val="FF0000"/>
                                  <w:szCs w:val="21"/>
                                  <w:lang w:eastAsia="zh-CN"/>
                                </w:rPr>
                                <w:t>区人民医院</w:t>
                              </w:r>
                              <w:r>
                                <w:rPr>
                                  <w:rFonts w:hint="eastAsia" w:asciiTheme="minorEastAsia" w:hAnsiTheme="minorEastAsia"/>
                                  <w:b/>
                                  <w:color w:val="FF0000"/>
                                  <w:szCs w:val="21"/>
                                </w:rPr>
                                <w:t>双向转诊接待处（门诊大厅一楼一站式服务台）</w:t>
                              </w:r>
                              <w:r>
                                <w:rPr>
                                  <w:rFonts w:hint="eastAsia" w:asciiTheme="minorEastAsia" w:hAnsiTheme="minorEastAsia"/>
                                  <w:color w:val="FF0000"/>
                                  <w:szCs w:val="21"/>
                                </w:rPr>
                                <w:t xml:space="preserve"> </w:t>
                              </w:r>
                              <w:r>
                                <w:rPr>
                                  <w:rFonts w:hint="eastAsia" w:asciiTheme="minorEastAsia" w:hAnsiTheme="minorEastAsia"/>
                                  <w:szCs w:val="21"/>
                                </w:rPr>
                                <w:t xml:space="preserve">                                                                                                                                                                                                                                                                                                                                                                                                                                                                                                                                                             </w:t>
                              </w:r>
                            </w:p>
                          </w:txbxContent>
                        </wps:txbx>
                        <wps:bodyPr rot="0" vert="horz" wrap="square" lIns="91440" tIns="45720" rIns="91440" bIns="45720" anchor="t" anchorCtr="0" upright="1">
                          <a:spAutoFit/>
                        </wps:bodyPr>
                      </wps:wsp>
                      <wps:wsp>
                        <wps:cNvPr id="96" name="AutoShape 96"/>
                        <wps:cNvCnPr>
                          <a:cxnSpLocks noChangeShapeType="1"/>
                        </wps:cNvCnPr>
                        <wps:spPr bwMode="auto">
                          <a:xfrm>
                            <a:off x="8244" y="6623"/>
                            <a:ext cx="6" cy="472"/>
                          </a:xfrm>
                          <a:prstGeom prst="straightConnector1">
                            <a:avLst/>
                          </a:prstGeom>
                          <a:noFill/>
                          <a:ln w="9525">
                            <a:solidFill>
                              <a:srgbClr val="000000"/>
                            </a:solidFill>
                            <a:round/>
                            <a:tailEnd type="triangle" w="med" len="med"/>
                          </a:ln>
                        </wps:spPr>
                        <wps:bodyPr/>
                      </wps:wsp>
                      <wps:wsp>
                        <wps:cNvPr id="97" name="AutoShape 97"/>
                        <wps:cNvCnPr>
                          <a:cxnSpLocks noChangeShapeType="1"/>
                        </wps:cNvCnPr>
                        <wps:spPr bwMode="auto">
                          <a:xfrm flipV="1">
                            <a:off x="3094" y="4860"/>
                            <a:ext cx="1" cy="2235"/>
                          </a:xfrm>
                          <a:prstGeom prst="straightConnector1">
                            <a:avLst/>
                          </a:prstGeom>
                          <a:noFill/>
                          <a:ln w="3175">
                            <a:solidFill>
                              <a:srgbClr val="000000"/>
                            </a:solidFill>
                            <a:prstDash val="dashDot"/>
                            <a:round/>
                            <a:tailEnd type="triangle" w="med" len="med"/>
                          </a:ln>
                        </wps:spPr>
                        <wps:bodyPr/>
                      </wps:wsp>
                      <wps:wsp>
                        <wps:cNvPr id="98" name="Text Box 98"/>
                        <wps:cNvSpPr txBox="1">
                          <a:spLocks noChangeArrowheads="1"/>
                        </wps:cNvSpPr>
                        <wps:spPr bwMode="auto">
                          <a:xfrm>
                            <a:off x="5745" y="6105"/>
                            <a:ext cx="4836" cy="518"/>
                          </a:xfrm>
                          <a:prstGeom prst="rect">
                            <a:avLst/>
                          </a:prstGeom>
                          <a:solidFill>
                            <a:srgbClr val="FFFFFF"/>
                          </a:solidFill>
                          <a:ln w="9525">
                            <a:solidFill>
                              <a:srgbClr val="000000"/>
                            </a:solidFill>
                            <a:miter lim="800000"/>
                          </a:ln>
                        </wps:spPr>
                        <wps:txbx>
                          <w:txbxContent>
                            <w:p w14:paraId="235B44E1">
                              <w:pPr>
                                <w:spacing w:line="276" w:lineRule="auto"/>
                                <w:jc w:val="center"/>
                                <w:rPr>
                                  <w:rFonts w:asciiTheme="minorEastAsia" w:hAnsiTheme="minorEastAsia"/>
                                  <w:szCs w:val="21"/>
                                </w:rPr>
                              </w:pPr>
                              <w:r>
                                <w:rPr>
                                  <w:rFonts w:hint="eastAsia" w:asciiTheme="minorEastAsia" w:hAnsiTheme="minorEastAsia"/>
                                  <w:szCs w:val="21"/>
                                </w:rPr>
                                <w:t>患者持双向转诊单到</w:t>
                              </w:r>
                              <w:r>
                                <w:rPr>
                                  <w:rFonts w:hint="eastAsia" w:asciiTheme="minorEastAsia" w:hAnsiTheme="minorEastAsia"/>
                                  <w:szCs w:val="21"/>
                                  <w:lang w:eastAsia="zh-CN"/>
                                </w:rPr>
                                <w:t>区人民医院</w:t>
                              </w:r>
                              <w:r>
                                <w:rPr>
                                  <w:rFonts w:hint="eastAsia" w:asciiTheme="minorEastAsia" w:hAnsiTheme="minorEastAsia"/>
                                  <w:szCs w:val="21"/>
                                </w:rPr>
                                <w:t>就诊</w:t>
                              </w:r>
                            </w:p>
                          </w:txbxContent>
                        </wps:txbx>
                        <wps:bodyPr rot="0" vert="horz" wrap="square" lIns="91440" tIns="45720" rIns="91440" bIns="45720" anchor="t" anchorCtr="0" upright="1">
                          <a:spAutoFit/>
                        </wps:bodyPr>
                      </wps:wsp>
                      <wps:wsp>
                        <wps:cNvPr id="99" name="AutoShape 99"/>
                        <wps:cNvCnPr>
                          <a:cxnSpLocks noChangeShapeType="1"/>
                        </wps:cNvCnPr>
                        <wps:spPr bwMode="auto">
                          <a:xfrm>
                            <a:off x="8259" y="5607"/>
                            <a:ext cx="15" cy="498"/>
                          </a:xfrm>
                          <a:prstGeom prst="straightConnector1">
                            <a:avLst/>
                          </a:prstGeom>
                          <a:noFill/>
                          <a:ln w="9525">
                            <a:solidFill>
                              <a:srgbClr val="000000"/>
                            </a:solidFill>
                            <a:round/>
                            <a:tailEnd type="triangle" w="med" len="med"/>
                          </a:ln>
                        </wps:spPr>
                        <wps:bodyPr/>
                      </wps:wsp>
                      <wpg:grpSp>
                        <wpg:cNvPr id="100" name="Group 100"/>
                        <wpg:cNvGrpSpPr/>
                        <wpg:grpSpPr>
                          <a:xfrm>
                            <a:off x="1449" y="3105"/>
                            <a:ext cx="9105" cy="2502"/>
                            <a:chOff x="1449" y="3105"/>
                            <a:chExt cx="9105" cy="2502"/>
                          </a:xfrm>
                        </wpg:grpSpPr>
                        <wps:wsp>
                          <wps:cNvPr id="101" name="Text Box 101"/>
                          <wps:cNvSpPr txBox="1">
                            <a:spLocks noChangeArrowheads="1"/>
                          </wps:cNvSpPr>
                          <wps:spPr bwMode="auto">
                            <a:xfrm>
                              <a:off x="1449" y="3975"/>
                              <a:ext cx="3060" cy="885"/>
                            </a:xfrm>
                            <a:prstGeom prst="rect">
                              <a:avLst/>
                            </a:prstGeom>
                            <a:solidFill>
                              <a:srgbClr val="FFFFFF"/>
                            </a:solidFill>
                            <a:ln w="9525">
                              <a:solidFill>
                                <a:srgbClr val="000000"/>
                              </a:solidFill>
                              <a:miter lim="800000"/>
                            </a:ln>
                          </wps:spPr>
                          <wps:txbx>
                            <w:txbxContent>
                              <w:p w14:paraId="6E52F842">
                                <w:pPr>
                                  <w:spacing w:line="276" w:lineRule="auto"/>
                                  <w:jc w:val="center"/>
                                  <w:rPr>
                                    <w:rFonts w:asciiTheme="minorEastAsia" w:hAnsiTheme="minorEastAsia"/>
                                    <w:szCs w:val="21"/>
                                  </w:rPr>
                                </w:pPr>
                                <w:r>
                                  <w:rPr>
                                    <w:rFonts w:hint="eastAsia" w:asciiTheme="minorEastAsia" w:hAnsiTheme="minorEastAsia"/>
                                    <w:szCs w:val="21"/>
                                    <w:lang w:val="en-US" w:eastAsia="zh-CN"/>
                                  </w:rPr>
                                  <w:t>新安镇医院</w:t>
                                </w:r>
                                <w:r>
                                  <w:rPr>
                                    <w:rFonts w:hint="eastAsia" w:asciiTheme="minorEastAsia" w:hAnsiTheme="minorEastAsia"/>
                                    <w:szCs w:val="21"/>
                                  </w:rPr>
                                  <w:t>责任医生</w:t>
                                </w:r>
                              </w:p>
                            </w:txbxContent>
                          </wps:txbx>
                          <wps:bodyPr rot="0" vert="horz" wrap="square" lIns="91440" tIns="45720" rIns="91440" bIns="45720" anchor="t" anchorCtr="0" upright="1">
                            <a:noAutofit/>
                          </wps:bodyPr>
                        </wps:wsp>
                        <wps:wsp>
                          <wps:cNvPr id="102" name="Text Box 102"/>
                          <wps:cNvSpPr txBox="1">
                            <a:spLocks noChangeArrowheads="1"/>
                          </wps:cNvSpPr>
                          <wps:spPr bwMode="auto">
                            <a:xfrm>
                              <a:off x="5718" y="3105"/>
                              <a:ext cx="4836" cy="525"/>
                            </a:xfrm>
                            <a:prstGeom prst="rect">
                              <a:avLst/>
                            </a:prstGeom>
                            <a:solidFill>
                              <a:srgbClr val="FFFFFF"/>
                            </a:solidFill>
                            <a:ln w="9525">
                              <a:solidFill>
                                <a:srgbClr val="000000"/>
                              </a:solidFill>
                              <a:miter lim="800000"/>
                            </a:ln>
                          </wps:spPr>
                          <wps:txbx>
                            <w:txbxContent>
                              <w:p w14:paraId="697BC769">
                                <w:pPr>
                                  <w:spacing w:line="276" w:lineRule="auto"/>
                                  <w:jc w:val="center"/>
                                  <w:rPr>
                                    <w:rFonts w:asciiTheme="minorEastAsia" w:hAnsiTheme="minorEastAsia"/>
                                    <w:szCs w:val="21"/>
                                  </w:rPr>
                                </w:pPr>
                                <w:r>
                                  <w:rPr>
                                    <w:rFonts w:hint="eastAsia" w:asciiTheme="minorEastAsia" w:hAnsiTheme="minorEastAsia"/>
                                    <w:szCs w:val="21"/>
                                  </w:rPr>
                                  <w:t>接诊符合双向转诊指征的患者</w:t>
                                </w:r>
                              </w:p>
                            </w:txbxContent>
                          </wps:txbx>
                          <wps:bodyPr rot="0" vert="horz" wrap="square" lIns="91440" tIns="45720" rIns="91440" bIns="45720" anchor="ctr" anchorCtr="0" upright="1">
                            <a:noAutofit/>
                          </wps:bodyPr>
                        </wps:wsp>
                        <wps:wsp>
                          <wps:cNvPr id="103" name="Text Box 103"/>
                          <wps:cNvSpPr txBox="1">
                            <a:spLocks noChangeArrowheads="1"/>
                          </wps:cNvSpPr>
                          <wps:spPr bwMode="auto">
                            <a:xfrm>
                              <a:off x="5718" y="4115"/>
                              <a:ext cx="4836" cy="505"/>
                            </a:xfrm>
                            <a:prstGeom prst="rect">
                              <a:avLst/>
                            </a:prstGeom>
                            <a:solidFill>
                              <a:srgbClr val="FFFFFF"/>
                            </a:solidFill>
                            <a:ln w="9525">
                              <a:solidFill>
                                <a:srgbClr val="000000"/>
                              </a:solidFill>
                              <a:miter lim="800000"/>
                            </a:ln>
                          </wps:spPr>
                          <wps:txbx>
                            <w:txbxContent>
                              <w:p w14:paraId="2B3FE2FF">
                                <w:pPr>
                                  <w:spacing w:line="276" w:lineRule="auto"/>
                                  <w:jc w:val="center"/>
                                  <w:rPr>
                                    <w:rFonts w:asciiTheme="minorEastAsia" w:hAnsiTheme="minorEastAsia"/>
                                    <w:sz w:val="26"/>
                                    <w:szCs w:val="26"/>
                                  </w:rPr>
                                </w:pPr>
                                <w:r>
                                  <w:rPr>
                                    <w:rFonts w:hint="eastAsia" w:asciiTheme="minorEastAsia" w:hAnsiTheme="minorEastAsia"/>
                                    <w:szCs w:val="21"/>
                                  </w:rPr>
                                  <w:t>填写双向转诊上转单</w:t>
                                </w:r>
                              </w:p>
                            </w:txbxContent>
                          </wps:txbx>
                          <wps:bodyPr rot="0" vert="horz" wrap="square" lIns="91440" tIns="45720" rIns="91440" bIns="45720" anchor="t" anchorCtr="0" upright="1">
                            <a:noAutofit/>
                          </wps:bodyPr>
                        </wps:wsp>
                        <wps:wsp>
                          <wps:cNvPr id="104" name="AutoShape 104"/>
                          <wps:cNvCnPr>
                            <a:cxnSpLocks noChangeShapeType="1"/>
                          </wps:cNvCnPr>
                          <wps:spPr bwMode="auto">
                            <a:xfrm>
                              <a:off x="8244" y="3630"/>
                              <a:ext cx="15" cy="485"/>
                            </a:xfrm>
                            <a:prstGeom prst="straightConnector1">
                              <a:avLst/>
                            </a:prstGeom>
                            <a:noFill/>
                            <a:ln w="9525">
                              <a:solidFill>
                                <a:srgbClr val="000000"/>
                              </a:solidFill>
                              <a:round/>
                              <a:tailEnd type="triangle" w="med" len="med"/>
                            </a:ln>
                          </wps:spPr>
                          <wps:bodyPr/>
                        </wps:wsp>
                        <wps:wsp>
                          <wps:cNvPr id="105" name="Text Box 105"/>
                          <wps:cNvSpPr txBox="1">
                            <a:spLocks noChangeArrowheads="1"/>
                          </wps:cNvSpPr>
                          <wps:spPr bwMode="auto">
                            <a:xfrm>
                              <a:off x="5724" y="5135"/>
                              <a:ext cx="4830" cy="472"/>
                            </a:xfrm>
                            <a:prstGeom prst="rect">
                              <a:avLst/>
                            </a:prstGeom>
                            <a:solidFill>
                              <a:srgbClr val="FFFFFF"/>
                            </a:solidFill>
                            <a:ln w="9525">
                              <a:solidFill>
                                <a:srgbClr val="000000"/>
                              </a:solidFill>
                              <a:miter lim="800000"/>
                            </a:ln>
                          </wps:spPr>
                          <wps:txbx>
                            <w:txbxContent>
                              <w:p w14:paraId="66662476">
                                <w:pPr>
                                  <w:snapToGrid w:val="0"/>
                                  <w:spacing w:line="276" w:lineRule="auto"/>
                                  <w:jc w:val="center"/>
                                  <w:rPr>
                                    <w:rFonts w:asciiTheme="minorEastAsia" w:hAnsiTheme="minorEastAsia"/>
                                    <w:szCs w:val="21"/>
                                  </w:rPr>
                                </w:pPr>
                                <w:r>
                                  <w:rPr>
                                    <w:rFonts w:hint="eastAsia" w:asciiTheme="minorEastAsia" w:hAnsiTheme="minorEastAsia"/>
                                    <w:szCs w:val="21"/>
                                  </w:rPr>
                                  <w:t>向患者交待双向转诊注意事项</w:t>
                                </w:r>
                              </w:p>
                            </w:txbxContent>
                          </wps:txbx>
                          <wps:bodyPr rot="0" vert="horz" wrap="square" lIns="91440" tIns="45720" rIns="91440" bIns="45720" anchor="t" anchorCtr="0" upright="1">
                            <a:spAutoFit/>
                          </wps:bodyPr>
                        </wps:wsp>
                        <wps:wsp>
                          <wps:cNvPr id="106" name="AutoShape 106"/>
                          <wps:cNvCnPr>
                            <a:cxnSpLocks noChangeShapeType="1"/>
                          </wps:cNvCnPr>
                          <wps:spPr bwMode="auto">
                            <a:xfrm>
                              <a:off x="8274" y="4620"/>
                              <a:ext cx="0" cy="515"/>
                            </a:xfrm>
                            <a:prstGeom prst="straightConnector1">
                              <a:avLst/>
                            </a:prstGeom>
                            <a:noFill/>
                            <a:ln w="9525">
                              <a:solidFill>
                                <a:srgbClr val="000000"/>
                              </a:solidFill>
                              <a:round/>
                              <a:tailEnd type="triangle" w="med" len="med"/>
                            </a:ln>
                          </wps:spPr>
                          <wps:bodyPr/>
                        </wps:wsp>
                        <wps:wsp>
                          <wps:cNvPr id="107" name="AutoShape 107"/>
                          <wps:cNvCnPr>
                            <a:cxnSpLocks noChangeShapeType="1"/>
                          </wps:cNvCnPr>
                          <wps:spPr bwMode="auto">
                            <a:xfrm>
                              <a:off x="5274" y="3411"/>
                              <a:ext cx="444" cy="1"/>
                            </a:xfrm>
                            <a:prstGeom prst="straightConnector1">
                              <a:avLst/>
                            </a:prstGeom>
                            <a:noFill/>
                            <a:ln w="9525">
                              <a:solidFill>
                                <a:srgbClr val="000000"/>
                              </a:solidFill>
                              <a:round/>
                            </a:ln>
                          </wps:spPr>
                          <wps:bodyPr/>
                        </wps:wsp>
                        <wps:wsp>
                          <wps:cNvPr id="108" name="AutoShape 108"/>
                          <wps:cNvCnPr>
                            <a:cxnSpLocks noChangeShapeType="1"/>
                          </wps:cNvCnPr>
                          <wps:spPr bwMode="auto">
                            <a:xfrm>
                              <a:off x="5274" y="5384"/>
                              <a:ext cx="444" cy="1"/>
                            </a:xfrm>
                            <a:prstGeom prst="straightConnector1">
                              <a:avLst/>
                            </a:prstGeom>
                            <a:noFill/>
                            <a:ln w="9525">
                              <a:solidFill>
                                <a:srgbClr val="000000"/>
                              </a:solidFill>
                              <a:round/>
                            </a:ln>
                          </wps:spPr>
                          <wps:bodyPr/>
                        </wps:wsp>
                        <wps:wsp>
                          <wps:cNvPr id="109" name="AutoShape 109"/>
                          <wps:cNvCnPr>
                            <a:cxnSpLocks noChangeShapeType="1"/>
                          </wps:cNvCnPr>
                          <wps:spPr bwMode="auto">
                            <a:xfrm>
                              <a:off x="5280" y="3412"/>
                              <a:ext cx="6" cy="1972"/>
                            </a:xfrm>
                            <a:prstGeom prst="straightConnector1">
                              <a:avLst/>
                            </a:prstGeom>
                            <a:noFill/>
                            <a:ln w="9525">
                              <a:solidFill>
                                <a:srgbClr val="000000"/>
                              </a:solidFill>
                              <a:round/>
                            </a:ln>
                          </wps:spPr>
                          <wps:bodyPr/>
                        </wps:wsp>
                        <wps:wsp>
                          <wps:cNvPr id="110" name="AutoShape 110"/>
                          <wps:cNvCnPr>
                            <a:cxnSpLocks noChangeShapeType="1"/>
                          </wps:cNvCnPr>
                          <wps:spPr bwMode="auto">
                            <a:xfrm>
                              <a:off x="4530" y="4350"/>
                              <a:ext cx="1215" cy="0"/>
                            </a:xfrm>
                            <a:prstGeom prst="straightConnector1">
                              <a:avLst/>
                            </a:prstGeom>
                            <a:noFill/>
                            <a:ln w="9525">
                              <a:solidFill>
                                <a:srgbClr val="000000"/>
                              </a:solidFill>
                              <a:round/>
                            </a:ln>
                          </wps:spPr>
                          <wps:bodyPr/>
                        </wps:wsp>
                      </wpg:grpSp>
                      <wps:wsp>
                        <wps:cNvPr id="111" name="AutoShape 111"/>
                        <wps:cNvCnPr>
                          <a:cxnSpLocks noChangeShapeType="1"/>
                        </wps:cNvCnPr>
                        <wps:spPr bwMode="auto">
                          <a:xfrm>
                            <a:off x="8244" y="7613"/>
                            <a:ext cx="0" cy="472"/>
                          </a:xfrm>
                          <a:prstGeom prst="straightConnector1">
                            <a:avLst/>
                          </a:prstGeom>
                          <a:noFill/>
                          <a:ln w="9525">
                            <a:solidFill>
                              <a:srgbClr val="000000"/>
                            </a:solidFill>
                            <a:round/>
                            <a:tailEnd type="triangle" w="med" len="med"/>
                          </a:ln>
                        </wps:spPr>
                        <wps:bodyPr/>
                      </wps:wsp>
                      <wpg:grpSp>
                        <wpg:cNvPr id="112" name="Group 112"/>
                        <wpg:cNvGrpSpPr/>
                        <wpg:grpSpPr>
                          <a:xfrm>
                            <a:off x="6675" y="8610"/>
                            <a:ext cx="2985" cy="824"/>
                            <a:chOff x="6495" y="8850"/>
                            <a:chExt cx="3315" cy="824"/>
                          </a:xfrm>
                        </wpg:grpSpPr>
                        <wps:wsp>
                          <wps:cNvPr id="113" name="AutoShape 113"/>
                          <wps:cNvCnPr>
                            <a:cxnSpLocks noChangeShapeType="1"/>
                          </wps:cNvCnPr>
                          <wps:spPr bwMode="auto">
                            <a:xfrm>
                              <a:off x="8244" y="8850"/>
                              <a:ext cx="0" cy="547"/>
                            </a:xfrm>
                            <a:prstGeom prst="straightConnector1">
                              <a:avLst/>
                            </a:prstGeom>
                            <a:noFill/>
                            <a:ln w="9525">
                              <a:solidFill>
                                <a:srgbClr val="000000"/>
                              </a:solidFill>
                              <a:round/>
                              <a:tailEnd type="triangle" w="med" len="med"/>
                            </a:ln>
                          </wps:spPr>
                          <wps:bodyPr/>
                        </wps:wsp>
                        <wps:wsp>
                          <wps:cNvPr id="114" name="AutoShape 114"/>
                          <wps:cNvCnPr>
                            <a:cxnSpLocks noChangeShapeType="1"/>
                          </wps:cNvCnPr>
                          <wps:spPr bwMode="auto">
                            <a:xfrm>
                              <a:off x="6495" y="9397"/>
                              <a:ext cx="3315" cy="0"/>
                            </a:xfrm>
                            <a:prstGeom prst="straightConnector1">
                              <a:avLst/>
                            </a:prstGeom>
                            <a:noFill/>
                            <a:ln w="9525">
                              <a:solidFill>
                                <a:srgbClr val="000000"/>
                              </a:solidFill>
                              <a:round/>
                            </a:ln>
                          </wps:spPr>
                          <wps:bodyPr/>
                        </wps:wsp>
                        <wps:wsp>
                          <wps:cNvPr id="115" name="AutoShape 115"/>
                          <wps:cNvCnPr>
                            <a:cxnSpLocks noChangeShapeType="1"/>
                          </wps:cNvCnPr>
                          <wps:spPr bwMode="auto">
                            <a:xfrm>
                              <a:off x="6495" y="9397"/>
                              <a:ext cx="0" cy="277"/>
                            </a:xfrm>
                            <a:prstGeom prst="straightConnector1">
                              <a:avLst/>
                            </a:prstGeom>
                            <a:noFill/>
                            <a:ln w="9525">
                              <a:solidFill>
                                <a:srgbClr val="000000"/>
                              </a:solidFill>
                              <a:round/>
                              <a:tailEnd type="triangle" w="med" len="med"/>
                            </a:ln>
                          </wps:spPr>
                          <wps:bodyPr/>
                        </wps:wsp>
                        <wps:wsp>
                          <wps:cNvPr id="116" name="AutoShape 116"/>
                          <wps:cNvCnPr>
                            <a:cxnSpLocks noChangeShapeType="1"/>
                          </wps:cNvCnPr>
                          <wps:spPr bwMode="auto">
                            <a:xfrm>
                              <a:off x="9810" y="9397"/>
                              <a:ext cx="0" cy="277"/>
                            </a:xfrm>
                            <a:prstGeom prst="straightConnector1">
                              <a:avLst/>
                            </a:prstGeom>
                            <a:noFill/>
                            <a:ln w="9525">
                              <a:solidFill>
                                <a:srgbClr val="000000"/>
                              </a:solidFill>
                              <a:round/>
                              <a:tailEnd type="triangle" w="med" len="med"/>
                            </a:ln>
                          </wps:spPr>
                          <wps:bodyPr/>
                        </wps:wsp>
                      </wpg:grpSp>
                      <wps:wsp>
                        <wps:cNvPr id="117" name="AutoShape 117"/>
                        <wps:cNvCnPr>
                          <a:cxnSpLocks noChangeShapeType="1"/>
                        </wps:cNvCnPr>
                        <wps:spPr bwMode="auto">
                          <a:xfrm>
                            <a:off x="9660" y="9915"/>
                            <a:ext cx="0" cy="510"/>
                          </a:xfrm>
                          <a:prstGeom prst="straightConnector1">
                            <a:avLst/>
                          </a:prstGeom>
                          <a:noFill/>
                          <a:ln w="9525">
                            <a:solidFill>
                              <a:srgbClr val="000000"/>
                            </a:solidFill>
                            <a:round/>
                            <a:tailEnd type="triangle" w="med" len="med"/>
                          </a:ln>
                        </wps:spPr>
                        <wps:bodyPr/>
                      </wps:wsp>
                      <wps:wsp>
                        <wps:cNvPr id="118" name="AutoShape 118"/>
                        <wps:cNvCnPr>
                          <a:cxnSpLocks noChangeShapeType="1"/>
                        </wps:cNvCnPr>
                        <wps:spPr bwMode="auto">
                          <a:xfrm>
                            <a:off x="6675" y="9915"/>
                            <a:ext cx="1" cy="510"/>
                          </a:xfrm>
                          <a:prstGeom prst="straightConnector1">
                            <a:avLst/>
                          </a:prstGeom>
                          <a:noFill/>
                          <a:ln w="9525">
                            <a:solidFill>
                              <a:srgbClr val="000000"/>
                            </a:solidFill>
                            <a:round/>
                            <a:tailEnd type="triangle" w="med" len="med"/>
                          </a:ln>
                        </wps:spPr>
                        <wps:bodyPr/>
                      </wps:wsp>
                      <wps:wsp>
                        <wps:cNvPr id="119" name="AutoShape 119"/>
                        <wps:cNvCnPr>
                          <a:cxnSpLocks noChangeShapeType="1"/>
                        </wps:cNvCnPr>
                        <wps:spPr bwMode="auto">
                          <a:xfrm>
                            <a:off x="9702" y="11234"/>
                            <a:ext cx="0" cy="421"/>
                          </a:xfrm>
                          <a:prstGeom prst="straightConnector1">
                            <a:avLst/>
                          </a:prstGeom>
                          <a:noFill/>
                          <a:ln w="9525">
                            <a:solidFill>
                              <a:srgbClr val="000000"/>
                            </a:solidFill>
                            <a:round/>
                            <a:tailEnd type="triangle" w="med" len="med"/>
                          </a:ln>
                        </wps:spPr>
                        <wps:bodyPr/>
                      </wps:wsp>
                      <wps:wsp>
                        <wps:cNvPr id="120" name="AutoShape 120"/>
                        <wps:cNvCnPr>
                          <a:cxnSpLocks noChangeShapeType="1"/>
                        </wps:cNvCnPr>
                        <wps:spPr bwMode="auto">
                          <a:xfrm>
                            <a:off x="6675" y="11234"/>
                            <a:ext cx="0" cy="421"/>
                          </a:xfrm>
                          <a:prstGeom prst="straightConnector1">
                            <a:avLst/>
                          </a:prstGeom>
                          <a:noFill/>
                          <a:ln w="9525">
                            <a:solidFill>
                              <a:srgbClr val="000000"/>
                            </a:solidFill>
                            <a:round/>
                            <a:tailEnd type="triangle" w="med" len="med"/>
                          </a:ln>
                        </wps:spPr>
                        <wps:bodyPr/>
                      </wps:wsp>
                      <wps:wsp>
                        <wps:cNvPr id="121" name="AutoShape 121"/>
                        <wps:cNvCnPr>
                          <a:cxnSpLocks noChangeShapeType="1"/>
                        </wps:cNvCnPr>
                        <wps:spPr bwMode="auto">
                          <a:xfrm>
                            <a:off x="6675" y="12532"/>
                            <a:ext cx="0" cy="421"/>
                          </a:xfrm>
                          <a:prstGeom prst="straightConnector1">
                            <a:avLst/>
                          </a:prstGeom>
                          <a:noFill/>
                          <a:ln w="9525">
                            <a:solidFill>
                              <a:srgbClr val="000000"/>
                            </a:solidFill>
                            <a:round/>
                            <a:tailEnd type="triangle" w="med" len="med"/>
                          </a:ln>
                        </wps:spPr>
                        <wps:bodyPr/>
                      </wps:wsp>
                      <wps:wsp>
                        <wps:cNvPr id="122" name="AutoShape 122"/>
                        <wps:cNvCnPr>
                          <a:cxnSpLocks noChangeShapeType="1"/>
                        </wps:cNvCnPr>
                        <wps:spPr bwMode="auto">
                          <a:xfrm>
                            <a:off x="9660" y="12532"/>
                            <a:ext cx="0" cy="421"/>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17.55pt;margin-top:21.25pt;height:555.75pt;width:456.6pt;z-index:251659264;mso-width-relative:page;mso-height-relative:page;" coordorigin="1449,3105" coordsize="9132,11115" o:gfxdata="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">
                <o:lock v:ext="edit" aspectratio="f"/>
                <v:shape id="Text Box 86" o:spid="_x0000_s1026" o:spt="202" type="#_x0000_t202" style="position:absolute;left:6315;top:8085;height:525;width:3705;"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44806AF8">
                        <w:pPr>
                          <w:spacing w:line="276" w:lineRule="auto"/>
                          <w:jc w:val="center"/>
                          <w:rPr>
                            <w:rFonts w:asciiTheme="minorEastAsia" w:hAnsiTheme="minorEastAsia"/>
                            <w:szCs w:val="21"/>
                          </w:rPr>
                        </w:pPr>
                        <w:r>
                          <w:rPr>
                            <w:rFonts w:hint="eastAsia" w:asciiTheme="minorEastAsia" w:hAnsiTheme="minorEastAsia"/>
                            <w:szCs w:val="21"/>
                          </w:rPr>
                          <w:t>安排医生接诊</w:t>
                        </w:r>
                      </w:p>
                    </w:txbxContent>
                  </v:textbox>
                </v:shape>
                <v:shape id="Text Box 87" o:spid="_x0000_s1026" o:spt="202" type="#_x0000_t202" style="position:absolute;left:5577;top:9434;height:481;width:2253;"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1A305C3F">
                        <w:pPr>
                          <w:spacing w:line="276" w:lineRule="auto"/>
                          <w:jc w:val="center"/>
                          <w:rPr>
                            <w:rFonts w:asciiTheme="minorEastAsia" w:hAnsiTheme="minorEastAsia"/>
                            <w:szCs w:val="21"/>
                          </w:rPr>
                        </w:pPr>
                        <w:r>
                          <w:rPr>
                            <w:rFonts w:hint="eastAsia" w:asciiTheme="minorEastAsia" w:hAnsiTheme="minorEastAsia"/>
                            <w:szCs w:val="21"/>
                          </w:rPr>
                          <w:t>患者需门诊诊治</w:t>
                        </w:r>
                      </w:p>
                    </w:txbxContent>
                  </v:textbox>
                </v:shape>
                <v:shape id="Text Box 88" o:spid="_x0000_s1026" o:spt="202" type="#_x0000_t202" style="position:absolute;left:5577;top:10425;height:809;width:2253;v-text-anchor:middle;" fillcolor="#FFFFFF" filled="t" stroked="t" coordsize="21600,21600" o:gfxdata="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H739twAAANs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textbox>
                    <w:txbxContent>
                      <w:p w14:paraId="1B851159">
                        <w:pPr>
                          <w:spacing w:line="276" w:lineRule="auto"/>
                          <w:jc w:val="center"/>
                          <w:rPr>
                            <w:rFonts w:asciiTheme="minorEastAsia" w:hAnsiTheme="minorEastAsia"/>
                            <w:szCs w:val="21"/>
                          </w:rPr>
                        </w:pPr>
                        <w:r>
                          <w:rPr>
                            <w:rFonts w:hint="eastAsia" w:asciiTheme="minorEastAsia" w:hAnsiTheme="minorEastAsia"/>
                            <w:szCs w:val="21"/>
                          </w:rPr>
                          <w:t>患者进行门诊</w:t>
                        </w:r>
                      </w:p>
                      <w:p w14:paraId="1DE602EB">
                        <w:pPr>
                          <w:spacing w:line="276" w:lineRule="auto"/>
                          <w:jc w:val="center"/>
                          <w:rPr>
                            <w:rFonts w:asciiTheme="minorEastAsia" w:hAnsiTheme="minorEastAsia"/>
                            <w:szCs w:val="21"/>
                          </w:rPr>
                        </w:pPr>
                        <w:r>
                          <w:rPr>
                            <w:rFonts w:hint="eastAsia" w:asciiTheme="minorEastAsia" w:hAnsiTheme="minorEastAsia"/>
                            <w:szCs w:val="21"/>
                          </w:rPr>
                          <w:t>诊治</w:t>
                        </w:r>
                      </w:p>
                    </w:txbxContent>
                  </v:textbox>
                </v:shape>
                <v:shape id="Text Box 89" o:spid="_x0000_s1026" o:spt="202" type="#_x0000_t202" style="position:absolute;left:5577;top:11655;height:877;width:2253;" fillcolor="#FFFFFF" filled="t" stroked="t" coordsize="21600,21600" o:gfxdata="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h02/&#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style="mso-fit-shape-to-text:t;">
                    <w:txbxContent>
                      <w:p w14:paraId="772E9187">
                        <w:pPr>
                          <w:spacing w:line="276" w:lineRule="auto"/>
                          <w:jc w:val="left"/>
                          <w:rPr>
                            <w:rFonts w:asciiTheme="minorEastAsia" w:hAnsiTheme="minorEastAsia"/>
                            <w:szCs w:val="21"/>
                          </w:rPr>
                        </w:pPr>
                        <w:r>
                          <w:rPr>
                            <w:rFonts w:hint="eastAsia" w:asciiTheme="minorEastAsia" w:hAnsiTheme="minorEastAsia"/>
                            <w:szCs w:val="21"/>
                          </w:rPr>
                          <w:t>明确诊断，确定治疗</w:t>
                        </w:r>
                      </w:p>
                      <w:p w14:paraId="7448F912">
                        <w:pPr>
                          <w:spacing w:line="276" w:lineRule="auto"/>
                          <w:jc w:val="left"/>
                          <w:rPr>
                            <w:rFonts w:asciiTheme="minorEastAsia" w:hAnsiTheme="minorEastAsia"/>
                            <w:szCs w:val="21"/>
                          </w:rPr>
                        </w:pPr>
                        <w:r>
                          <w:rPr>
                            <w:rFonts w:hint="eastAsia" w:asciiTheme="minorEastAsia" w:hAnsiTheme="minorEastAsia"/>
                            <w:szCs w:val="21"/>
                          </w:rPr>
                          <w:t>方案，完成门诊转诊</w:t>
                        </w:r>
                      </w:p>
                    </w:txbxContent>
                  </v:textbox>
                </v:shape>
                <v:shape id="Text Box 90" o:spid="_x0000_s1026" o:spt="202" type="#_x0000_t202" style="position:absolute;left:5577;top:12953;height:1267;width:2253;"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31DF0FA6">
                        <w:pPr>
                          <w:spacing w:line="276" w:lineRule="auto"/>
                          <w:jc w:val="left"/>
                          <w:rPr>
                            <w:rFonts w:asciiTheme="minorEastAsia" w:hAnsiTheme="minorEastAsia"/>
                            <w:szCs w:val="21"/>
                          </w:rPr>
                        </w:pPr>
                        <w:r>
                          <w:rPr>
                            <w:rFonts w:hint="eastAsia" w:asciiTheme="minorEastAsia" w:hAnsiTheme="minorEastAsia"/>
                            <w:szCs w:val="21"/>
                          </w:rPr>
                          <w:t>门诊医生填写双向转</w:t>
                        </w:r>
                      </w:p>
                      <w:p w14:paraId="4004856F">
                        <w:pPr>
                          <w:spacing w:line="276" w:lineRule="auto"/>
                          <w:jc w:val="left"/>
                          <w:rPr>
                            <w:rFonts w:asciiTheme="minorEastAsia" w:hAnsiTheme="minorEastAsia"/>
                            <w:szCs w:val="21"/>
                          </w:rPr>
                        </w:pPr>
                        <w:r>
                          <w:rPr>
                            <w:rFonts w:hint="eastAsia" w:asciiTheme="minorEastAsia" w:hAnsiTheme="minorEastAsia"/>
                            <w:szCs w:val="21"/>
                          </w:rPr>
                          <w:t>诊下转单，提出治疗</w:t>
                        </w:r>
                      </w:p>
                      <w:p w14:paraId="3AB90797">
                        <w:pPr>
                          <w:spacing w:line="276" w:lineRule="auto"/>
                          <w:jc w:val="left"/>
                          <w:rPr>
                            <w:rFonts w:asciiTheme="minorEastAsia" w:hAnsiTheme="minorEastAsia"/>
                            <w:szCs w:val="21"/>
                          </w:rPr>
                        </w:pPr>
                        <w:r>
                          <w:rPr>
                            <w:rFonts w:hint="eastAsia" w:asciiTheme="minorEastAsia" w:hAnsiTheme="minorEastAsia"/>
                            <w:szCs w:val="21"/>
                          </w:rPr>
                          <w:t>意见及建议上交社区</w:t>
                        </w:r>
                      </w:p>
                    </w:txbxContent>
                  </v:textbox>
                </v:shape>
                <v:shape id="Text Box 91" o:spid="_x0000_s1026" o:spt="202" type="#_x0000_t202" style="position:absolute;left:8394;top:9434;height:481;width:2166;"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1BF7791B">
                        <w:pPr>
                          <w:spacing w:line="276" w:lineRule="auto"/>
                          <w:jc w:val="center"/>
                        </w:pPr>
                        <w:r>
                          <w:rPr>
                            <w:rFonts w:hint="eastAsia" w:asciiTheme="minorEastAsia" w:hAnsiTheme="minorEastAsia"/>
                            <w:szCs w:val="21"/>
                          </w:rPr>
                          <w:t>患者需住院</w:t>
                        </w:r>
                      </w:p>
                    </w:txbxContent>
                  </v:textbox>
                </v:shape>
                <v:shape id="Text Box 92" o:spid="_x0000_s1026" o:spt="202" type="#_x0000_t202" style="position:absolute;left:8442;top:10425;height:809;width:2139;v-text-anchor:middle;" fillcolor="#FFFFFF" filled="t" stroked="t" coordsize="21600,21600" o:gfxdata="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LhzK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74BF7DF5">
                        <w:pPr>
                          <w:spacing w:line="276" w:lineRule="auto"/>
                          <w:jc w:val="center"/>
                          <w:rPr>
                            <w:rFonts w:asciiTheme="minorEastAsia" w:hAnsiTheme="minorEastAsia"/>
                            <w:szCs w:val="21"/>
                          </w:rPr>
                        </w:pPr>
                        <w:r>
                          <w:rPr>
                            <w:rFonts w:hint="eastAsia" w:asciiTheme="minorEastAsia" w:hAnsiTheme="minorEastAsia"/>
                            <w:szCs w:val="21"/>
                          </w:rPr>
                          <w:t>安排转诊患者</w:t>
                        </w:r>
                      </w:p>
                      <w:p w14:paraId="6C5A0A9F">
                        <w:pPr>
                          <w:spacing w:line="276" w:lineRule="auto"/>
                          <w:jc w:val="center"/>
                          <w:rPr>
                            <w:rFonts w:asciiTheme="minorEastAsia" w:hAnsiTheme="minorEastAsia"/>
                            <w:szCs w:val="21"/>
                          </w:rPr>
                        </w:pPr>
                        <w:r>
                          <w:rPr>
                            <w:rFonts w:hint="eastAsia" w:asciiTheme="minorEastAsia" w:hAnsiTheme="minorEastAsia"/>
                            <w:szCs w:val="21"/>
                          </w:rPr>
                          <w:t>住院治疗</w:t>
                        </w:r>
                      </w:p>
                    </w:txbxContent>
                  </v:textbox>
                </v:shape>
                <v:shape id="Text Box 93" o:spid="_x0000_s1026" o:spt="202" type="#_x0000_t202" style="position:absolute;left:8394;top:11655;height:877;width:2166;" fillcolor="#FFFFFF" filled="t" stroked="t" coordsize="21600,21600" o:gfxdata="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8me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189471F1">
                        <w:pPr>
                          <w:spacing w:line="276" w:lineRule="auto"/>
                          <w:jc w:val="center"/>
                          <w:rPr>
                            <w:rFonts w:asciiTheme="minorEastAsia" w:hAnsiTheme="minorEastAsia"/>
                            <w:szCs w:val="21"/>
                          </w:rPr>
                        </w:pPr>
                        <w:r>
                          <w:rPr>
                            <w:rFonts w:hint="eastAsia" w:asciiTheme="minorEastAsia" w:hAnsiTheme="minorEastAsia"/>
                            <w:szCs w:val="21"/>
                          </w:rPr>
                          <w:t>患者病情稳定符</w:t>
                        </w:r>
                      </w:p>
                      <w:p w14:paraId="586A9C67">
                        <w:pPr>
                          <w:spacing w:line="276" w:lineRule="auto"/>
                          <w:jc w:val="center"/>
                          <w:rPr>
                            <w:rFonts w:asciiTheme="minorEastAsia" w:hAnsiTheme="minorEastAsia"/>
                            <w:szCs w:val="21"/>
                          </w:rPr>
                        </w:pPr>
                        <w:r>
                          <w:rPr>
                            <w:rFonts w:hint="eastAsia" w:asciiTheme="minorEastAsia" w:hAnsiTheme="minorEastAsia"/>
                            <w:szCs w:val="21"/>
                          </w:rPr>
                          <w:t>合转回社区指征</w:t>
                        </w:r>
                      </w:p>
                    </w:txbxContent>
                  </v:textbox>
                </v:shape>
                <v:shape id="Text Box 94" o:spid="_x0000_s1026" o:spt="202" type="#_x0000_t202" style="position:absolute;left:8378;top:12953;height:1235;width:2182;" fillcolor="#FFFFFF" filled="t" stroked="t" coordsize="21600,21600" o:gfxdata="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a+D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172C8223">
                        <w:pPr>
                          <w:spacing w:line="276" w:lineRule="auto"/>
                          <w:jc w:val="left"/>
                          <w:rPr>
                            <w:rFonts w:asciiTheme="minorEastAsia" w:hAnsiTheme="minorEastAsia"/>
                            <w:szCs w:val="21"/>
                          </w:rPr>
                        </w:pPr>
                        <w:r>
                          <w:rPr>
                            <w:rFonts w:hint="eastAsia" w:asciiTheme="minorEastAsia" w:hAnsiTheme="minorEastAsia"/>
                            <w:szCs w:val="21"/>
                          </w:rPr>
                          <w:t>住院医生填写出院</w:t>
                        </w:r>
                      </w:p>
                      <w:p w14:paraId="67500755">
                        <w:pPr>
                          <w:spacing w:line="276" w:lineRule="auto"/>
                          <w:jc w:val="left"/>
                          <w:rPr>
                            <w:rFonts w:asciiTheme="minorEastAsia" w:hAnsiTheme="minorEastAsia"/>
                            <w:szCs w:val="21"/>
                          </w:rPr>
                        </w:pPr>
                        <w:r>
                          <w:rPr>
                            <w:rFonts w:hint="eastAsia" w:asciiTheme="minorEastAsia" w:hAnsiTheme="minorEastAsia"/>
                            <w:szCs w:val="21"/>
                          </w:rPr>
                          <w:t>小结，提出治疗意</w:t>
                        </w:r>
                      </w:p>
                      <w:p w14:paraId="19A1CEC2">
                        <w:pPr>
                          <w:spacing w:line="276" w:lineRule="auto"/>
                          <w:jc w:val="left"/>
                          <w:rPr>
                            <w:rFonts w:asciiTheme="minorEastAsia" w:hAnsiTheme="minorEastAsia"/>
                            <w:szCs w:val="21"/>
                          </w:rPr>
                        </w:pPr>
                        <w:r>
                          <w:rPr>
                            <w:rFonts w:hint="eastAsia" w:asciiTheme="minorEastAsia" w:hAnsiTheme="minorEastAsia"/>
                            <w:szCs w:val="21"/>
                          </w:rPr>
                          <w:t>见及建议上交社区</w:t>
                        </w:r>
                      </w:p>
                    </w:txbxContent>
                  </v:textbox>
                </v:shape>
                <v:shape id="Text Box 95" o:spid="_x0000_s1026" o:spt="202" type="#_x0000_t202" style="position:absolute;left:1470;top:7095;height:518;width:9111;" fillcolor="#FFFFFF" filled="t" stroked="t" coordsize="21600,21600" o:gfxdata="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obl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57679A27">
                        <w:pPr>
                          <w:spacing w:line="276" w:lineRule="auto"/>
                          <w:jc w:val="center"/>
                          <w:rPr>
                            <w:rFonts w:asciiTheme="minorEastAsia" w:hAnsiTheme="minorEastAsia"/>
                            <w:szCs w:val="21"/>
                          </w:rPr>
                        </w:pPr>
                        <w:r>
                          <w:rPr>
                            <w:rFonts w:hint="eastAsia" w:asciiTheme="minorEastAsia" w:hAnsiTheme="minorEastAsia"/>
                            <w:b/>
                            <w:color w:val="FF0000"/>
                            <w:szCs w:val="21"/>
                          </w:rPr>
                          <w:t xml:space="preserve">                      </w:t>
                        </w:r>
                        <w:r>
                          <w:rPr>
                            <w:rFonts w:hint="eastAsia" w:asciiTheme="minorEastAsia" w:hAnsiTheme="minorEastAsia"/>
                            <w:b/>
                            <w:color w:val="FF0000"/>
                            <w:szCs w:val="21"/>
                            <w:lang w:eastAsia="zh-CN"/>
                          </w:rPr>
                          <w:t>区人民医院</w:t>
                        </w:r>
                        <w:r>
                          <w:rPr>
                            <w:rFonts w:hint="eastAsia" w:asciiTheme="minorEastAsia" w:hAnsiTheme="minorEastAsia"/>
                            <w:b/>
                            <w:color w:val="FF0000"/>
                            <w:szCs w:val="21"/>
                          </w:rPr>
                          <w:t>双向转诊接待处（门诊大厅一楼一站式服务台）</w:t>
                        </w:r>
                        <w:r>
                          <w:rPr>
                            <w:rFonts w:hint="eastAsia" w:asciiTheme="minorEastAsia" w:hAnsiTheme="minorEastAsia"/>
                            <w:color w:val="FF0000"/>
                            <w:szCs w:val="21"/>
                          </w:rPr>
                          <w:t xml:space="preserve"> </w:t>
                        </w:r>
                        <w:r>
                          <w:rPr>
                            <w:rFonts w:hint="eastAsia" w:asciiTheme="minorEastAsia" w:hAnsiTheme="minorEastAsia"/>
                            <w:szCs w:val="21"/>
                          </w:rPr>
                          <w:t xml:space="preserve">                                                                                                                                                                                                                                                                                                                                                                                                                                                                                                                                                             </w:t>
                        </w:r>
                      </w:p>
                    </w:txbxContent>
                  </v:textbox>
                </v:shape>
                <v:shape id="AutoShape 96" o:spid="_x0000_s1026" o:spt="32" type="#_x0000_t32" style="position:absolute;left:8244;top:6623;height:472;width:6;" filled="f" stroked="t" coordsize="21600,21600" o:gfxdata="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vrXT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97" o:spid="_x0000_s1026" o:spt="32" type="#_x0000_t32" style="position:absolute;left:3094;top:4860;flip:y;height:2235;width:1;" filled="f" stroked="t" coordsize="21600,21600" o:gfxdata="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nv1CvQAA&#10;ANsAAAAPAAAAAAAAAAEAIAAAACIAAABkcnMvZG93bnJldi54bWxQSwECFAAUAAAACACHTuJAMy8F&#10;njsAAAA5AAAAEAAAAAAAAAABACAAAAAMAQAAZHJzL3NoYXBleG1sLnhtbFBLBQYAAAAABgAGAFsB&#10;AAC2AwAAAAA=&#10;">
                  <v:fill on="f" focussize="0,0"/>
                  <v:stroke weight="0.25pt" color="#000000" joinstyle="round" dashstyle="dashDot" endarrow="block"/>
                  <v:imagedata o:title=""/>
                  <o:lock v:ext="edit" aspectratio="f"/>
                </v:shape>
                <v:shape id="Text Box 98" o:spid="_x0000_s1026" o:spt="202" type="#_x0000_t202" style="position:absolute;left:5745;top:6105;height:518;width:4836;" fillcolor="#FFFFFF" filled="t" stroked="t" coordsize="21600,21600" o:gfxdata="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u0C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14:paraId="235B44E1">
                        <w:pPr>
                          <w:spacing w:line="276" w:lineRule="auto"/>
                          <w:jc w:val="center"/>
                          <w:rPr>
                            <w:rFonts w:asciiTheme="minorEastAsia" w:hAnsiTheme="minorEastAsia"/>
                            <w:szCs w:val="21"/>
                          </w:rPr>
                        </w:pPr>
                        <w:r>
                          <w:rPr>
                            <w:rFonts w:hint="eastAsia" w:asciiTheme="minorEastAsia" w:hAnsiTheme="minorEastAsia"/>
                            <w:szCs w:val="21"/>
                          </w:rPr>
                          <w:t>患者持双向转诊单到</w:t>
                        </w:r>
                        <w:r>
                          <w:rPr>
                            <w:rFonts w:hint="eastAsia" w:asciiTheme="minorEastAsia" w:hAnsiTheme="minorEastAsia"/>
                            <w:szCs w:val="21"/>
                            <w:lang w:eastAsia="zh-CN"/>
                          </w:rPr>
                          <w:t>区人民医院</w:t>
                        </w:r>
                        <w:r>
                          <w:rPr>
                            <w:rFonts w:hint="eastAsia" w:asciiTheme="minorEastAsia" w:hAnsiTheme="minorEastAsia"/>
                            <w:szCs w:val="21"/>
                          </w:rPr>
                          <w:t>就诊</w:t>
                        </w:r>
                      </w:p>
                    </w:txbxContent>
                  </v:textbox>
                </v:shape>
                <v:shape id="AutoShape 99" o:spid="_x0000_s1026" o:spt="32" type="#_x0000_t32" style="position:absolute;left:8259;top:5607;height:498;width:15;" filled="f" stroked="t" coordsize="21600,21600" o:gfxdata="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VDP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100" o:spid="_x0000_s1026" o:spt="203" style="position:absolute;left:1449;top:3105;height:2502;width:9105;" coordorigin="1449,3105" coordsize="9105,2502"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Text Box 101" o:spid="_x0000_s1026" o:spt="202" type="#_x0000_t202" style="position:absolute;left:1449;top:3975;height:885;width:3060;" fillcolor="#FFFFFF" filled="t" stroked="t" coordsize="21600,21600" o:gfxdata="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wp4w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6E52F842">
                          <w:pPr>
                            <w:spacing w:line="276" w:lineRule="auto"/>
                            <w:jc w:val="center"/>
                            <w:rPr>
                              <w:rFonts w:asciiTheme="minorEastAsia" w:hAnsiTheme="minorEastAsia"/>
                              <w:szCs w:val="21"/>
                            </w:rPr>
                          </w:pPr>
                          <w:r>
                            <w:rPr>
                              <w:rFonts w:hint="eastAsia" w:asciiTheme="minorEastAsia" w:hAnsiTheme="minorEastAsia"/>
                              <w:szCs w:val="21"/>
                              <w:lang w:val="en-US" w:eastAsia="zh-CN"/>
                            </w:rPr>
                            <w:t>新安镇医院</w:t>
                          </w:r>
                          <w:r>
                            <w:rPr>
                              <w:rFonts w:hint="eastAsia" w:asciiTheme="minorEastAsia" w:hAnsiTheme="minorEastAsia"/>
                              <w:szCs w:val="21"/>
                            </w:rPr>
                            <w:t>责任医生</w:t>
                          </w:r>
                        </w:p>
                      </w:txbxContent>
                    </v:textbox>
                  </v:shape>
                  <v:shape id="Text Box 102" o:spid="_x0000_s1026" o:spt="202" type="#_x0000_t202" style="position:absolute;left:5718;top:3105;height:525;width:4836;v-text-anchor:middle;" fillcolor="#FFFFFF" filled="t" stroked="t" coordsize="21600,21600" o:gfxdata="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gSnargAAADc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14:paraId="697BC769">
                          <w:pPr>
                            <w:spacing w:line="276" w:lineRule="auto"/>
                            <w:jc w:val="center"/>
                            <w:rPr>
                              <w:rFonts w:asciiTheme="minorEastAsia" w:hAnsiTheme="minorEastAsia"/>
                              <w:szCs w:val="21"/>
                            </w:rPr>
                          </w:pPr>
                          <w:r>
                            <w:rPr>
                              <w:rFonts w:hint="eastAsia" w:asciiTheme="minorEastAsia" w:hAnsiTheme="minorEastAsia"/>
                              <w:szCs w:val="21"/>
                            </w:rPr>
                            <w:t>接诊符合双向转诊指征的患者</w:t>
                          </w:r>
                        </w:p>
                      </w:txbxContent>
                    </v:textbox>
                  </v:shape>
                  <v:shape id="Text Box 103" o:spid="_x0000_s1026" o:spt="202" type="#_x0000_t202" style="position:absolute;left:5718;top:4115;height:505;width:4836;" fillcolor="#FFFFFF" filled="t" stroked="t" coordsize="21600,21600" o:gfxdata="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cpdy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B3FE2FF">
                          <w:pPr>
                            <w:spacing w:line="276" w:lineRule="auto"/>
                            <w:jc w:val="center"/>
                            <w:rPr>
                              <w:rFonts w:asciiTheme="minorEastAsia" w:hAnsiTheme="minorEastAsia"/>
                              <w:sz w:val="26"/>
                              <w:szCs w:val="26"/>
                            </w:rPr>
                          </w:pPr>
                          <w:r>
                            <w:rPr>
                              <w:rFonts w:hint="eastAsia" w:asciiTheme="minorEastAsia" w:hAnsiTheme="minorEastAsia"/>
                              <w:szCs w:val="21"/>
                            </w:rPr>
                            <w:t>填写双向转诊上转单</w:t>
                          </w:r>
                        </w:p>
                      </w:txbxContent>
                    </v:textbox>
                  </v:shape>
                  <v:shape id="AutoShape 104" o:spid="_x0000_s1026" o:spt="32" type="#_x0000_t32" style="position:absolute;left:8244;top:3630;height:485;width:15;" filled="f" stroked="t" coordsize="21600,21600" o:gfxdata="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Hzw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Text Box 105" o:spid="_x0000_s1026" o:spt="202" type="#_x0000_t202" style="position:absolute;left:5724;top:5135;height:472;width:4830;" fillcolor="#FFFFFF" filled="t" stroked="t" coordsize="21600,21600" o:gfxdata="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mprL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14:paraId="66662476">
                          <w:pPr>
                            <w:snapToGrid w:val="0"/>
                            <w:spacing w:line="276" w:lineRule="auto"/>
                            <w:jc w:val="center"/>
                            <w:rPr>
                              <w:rFonts w:asciiTheme="minorEastAsia" w:hAnsiTheme="minorEastAsia"/>
                              <w:szCs w:val="21"/>
                            </w:rPr>
                          </w:pPr>
                          <w:r>
                            <w:rPr>
                              <w:rFonts w:hint="eastAsia" w:asciiTheme="minorEastAsia" w:hAnsiTheme="minorEastAsia"/>
                              <w:szCs w:val="21"/>
                            </w:rPr>
                            <w:t>向患者交待双向转诊注意事项</w:t>
                          </w:r>
                        </w:p>
                      </w:txbxContent>
                    </v:textbox>
                  </v:shape>
                  <v:shape id="AutoShape 106" o:spid="_x0000_s1026" o:spt="32" type="#_x0000_t32" style="position:absolute;left:8274;top:4620;height:515;width:0;" filled="f" stroked="t" coordsize="21600,21600" o:gfxdata="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Z9O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07" o:spid="_x0000_s1026" o:spt="32" type="#_x0000_t32" style="position:absolute;left:5274;top:3411;height:1;width:444;" filled="f" stroked="t" coordsize="21600,21600" o:gfxdata="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qqmJ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108" o:spid="_x0000_s1026" o:spt="32" type="#_x0000_t32" style="position:absolute;left:5274;top:5384;height:1;width:444;" filled="f" stroked="t" coordsize="21600,21600" o:gfxdata="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U9+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09" o:spid="_x0000_s1026" o:spt="32" type="#_x0000_t32" style="position:absolute;left:5280;top:3412;height:1972;width:6;" filled="f" stroked="t" coordsize="21600,21600" o:gfxdata="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5mGC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10" o:spid="_x0000_s1026" o:spt="32" type="#_x0000_t32" style="position:absolute;left:4530;top:4350;height:0;width:1215;" filled="f" stroked="t" coordsize="21600,21600" o:gfxdata="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qc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shape id="AutoShape 111" o:spid="_x0000_s1026" o:spt="32" type="#_x0000_t32" style="position:absolute;left:8244;top:7613;height:472;width:0;" filled="f" stroked="t" coordsize="21600,21600" o:gfxdata="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6fpJ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id="Group 112" o:spid="_x0000_s1026" o:spt="203" style="position:absolute;left:6675;top:8610;height:824;width:2985;" coordorigin="6495,8850" coordsize="3315,824"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shape id="AutoShape 113" o:spid="_x0000_s1026" o:spt="32" type="#_x0000_t32" style="position:absolute;left:8244;top:8850;height:547;width:0;" filled="f" stroked="t" coordsize="21600,21600" o:gfxdata="UEsDBAoAAAAAAIdO4kAAAAAAAAAAAAAAAAAEAAAAZHJzL1BLAwQUAAAACACHTuJAv3fBpbwAAADc&#10;AAAADwAAAGRycy9kb3ducmV2LnhtbEVPS2sCMRC+F/wPYYTeanYtLO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3waW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4" o:spid="_x0000_s1026" o:spt="32" type="#_x0000_t32" style="position:absolute;left:6495;top:9397;height:0;width:3315;" filled="f" stroked="t" coordsize="21600,21600" o:gfxdata="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oSO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15" o:spid="_x0000_s1026" o:spt="32" type="#_x0000_t32" style="position:absolute;left:6495;top:9397;height:277;width:0;" filled="f" stroked="t" coordsize="21600,21600" o:gfxdata="UEsDBAoAAAAAAIdO4kAAAAAAAAAAAAAAAAAEAAAAZHJzL1BLAwQUAAAACACHTuJAX9L8SrwAAADc&#10;AAAADwAAAGRycy9kb3ducmV2LnhtbEVPS2sCMRC+F/wPYYTeanaFLu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E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6" o:spid="_x0000_s1026" o:spt="32" type="#_x0000_t32" style="position:absolute;left:9810;top:9397;height:277;width:0;" filled="f" stroked="t" coordsize="21600,21600" o:gfxdata="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8AYj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shape id="AutoShape 117" o:spid="_x0000_s1026" o:spt="32" type="#_x0000_t32" style="position:absolute;left:9660;top:9915;height:510;width:0;" filled="f" stroked="t" coordsize="21600,21600" o:gfxdata="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Mx6a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8" o:spid="_x0000_s1026" o:spt="32" type="#_x0000_t32" style="position:absolute;left:6675;top:9915;height:510;width:1;" filled="f" stroked="t" coordsize="21600,21600" o:gfxdata="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TU9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19" o:spid="_x0000_s1026" o:spt="32" type="#_x0000_t32" style="position:absolute;left:9702;top:11234;height:421;width:0;" filled="f" stroked="t" coordsize="21600,21600" o:gfxdata="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f9k+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20" o:spid="_x0000_s1026" o:spt="32" type="#_x0000_t32" style="position:absolute;left:6675;top:11234;height:421;width:0;" filled="f" stroked="t" coordsize="21600,21600" o:gfxdata="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Jl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21" o:spid="_x0000_s1026" o:spt="32" type="#_x0000_t32" style="position:absolute;left:6675;top:12532;height:421;width:0;" filled="f" stroked="t" coordsize="21600,21600" o:gfxdata="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FMP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22" o:spid="_x0000_s1026" o:spt="32" type="#_x0000_t32" style="position:absolute;left:9660;top:12532;height:421;width:0;" filled="f" stroked="t" coordsize="21600,21600" o:gfxdata="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5XroO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w:pict>
          </mc:Fallback>
        </mc:AlternateContent>
      </w:r>
      <w:r>
        <w:rPr>
          <w:rFonts w:hint="eastAsia" w:ascii="微软雅黑" w:hAnsi="微软雅黑" w:eastAsia="微软雅黑" w:cs="微软雅黑"/>
          <w:sz w:val="21"/>
          <w:szCs w:val="21"/>
        </w:rPr>
        <w:t xml:space="preserve">    </w:t>
      </w:r>
    </w:p>
    <w:p w14:paraId="53E55861">
      <w:pPr>
        <w:spacing w:line="5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w:t>
      </w:r>
    </w:p>
    <w:p w14:paraId="658D4D41">
      <w:pPr>
        <w:tabs>
          <w:tab w:val="left" w:pos="740"/>
        </w:tabs>
        <w:rPr>
          <w:rFonts w:hint="eastAsia" w:ascii="微软雅黑" w:hAnsi="微软雅黑" w:eastAsia="微软雅黑" w:cs="微软雅黑"/>
          <w:sz w:val="21"/>
          <w:szCs w:val="21"/>
        </w:rPr>
      </w:pPr>
    </w:p>
    <w:p w14:paraId="5D6E5B47">
      <w:pPr>
        <w:rPr>
          <w:rFonts w:hint="eastAsia" w:ascii="微软雅黑" w:hAnsi="微软雅黑" w:eastAsia="微软雅黑" w:cs="微软雅黑"/>
          <w:sz w:val="21"/>
          <w:szCs w:val="21"/>
        </w:rPr>
      </w:pPr>
    </w:p>
    <w:p w14:paraId="6AE7CA7D">
      <w:pPr>
        <w:rPr>
          <w:rFonts w:hint="eastAsia" w:ascii="微软雅黑" w:hAnsi="微软雅黑" w:eastAsia="微软雅黑" w:cs="微软雅黑"/>
          <w:sz w:val="21"/>
          <w:szCs w:val="21"/>
        </w:rPr>
      </w:pPr>
    </w:p>
    <w:p w14:paraId="13C4937D">
      <w:pPr>
        <w:rPr>
          <w:rFonts w:hint="eastAsia" w:ascii="微软雅黑" w:hAnsi="微软雅黑" w:eastAsia="微软雅黑" w:cs="微软雅黑"/>
          <w:sz w:val="21"/>
          <w:szCs w:val="21"/>
        </w:rPr>
      </w:pPr>
    </w:p>
    <w:p w14:paraId="0C1D1C77">
      <w:pPr>
        <w:rPr>
          <w:rFonts w:hint="eastAsia" w:ascii="微软雅黑" w:hAnsi="微软雅黑" w:eastAsia="微软雅黑" w:cs="微软雅黑"/>
          <w:sz w:val="21"/>
          <w:szCs w:val="21"/>
        </w:rPr>
      </w:pPr>
    </w:p>
    <w:p w14:paraId="2B0DB185">
      <w:pPr>
        <w:rPr>
          <w:rFonts w:hint="eastAsia" w:ascii="微软雅黑" w:hAnsi="微软雅黑" w:eastAsia="微软雅黑" w:cs="微软雅黑"/>
          <w:sz w:val="21"/>
          <w:szCs w:val="21"/>
        </w:rPr>
      </w:pPr>
    </w:p>
    <w:p w14:paraId="28827906">
      <w:pPr>
        <w:rPr>
          <w:rFonts w:hint="eastAsia" w:ascii="微软雅黑" w:hAnsi="微软雅黑" w:eastAsia="微软雅黑" w:cs="微软雅黑"/>
          <w:sz w:val="21"/>
          <w:szCs w:val="21"/>
        </w:rPr>
      </w:pPr>
    </w:p>
    <w:p w14:paraId="51973C15">
      <w:pPr>
        <w:rPr>
          <w:rFonts w:hint="eastAsia" w:ascii="微软雅黑" w:hAnsi="微软雅黑" w:eastAsia="微软雅黑" w:cs="微软雅黑"/>
          <w:sz w:val="21"/>
          <w:szCs w:val="21"/>
        </w:rPr>
      </w:pPr>
    </w:p>
    <w:p w14:paraId="63E3B99C">
      <w:pPr>
        <w:ind w:firstLine="420" w:firstLineChars="200"/>
        <w:rPr>
          <w:rFonts w:hint="eastAsia" w:ascii="微软雅黑" w:hAnsi="微软雅黑" w:eastAsia="微软雅黑" w:cs="微软雅黑"/>
          <w:sz w:val="21"/>
          <w:szCs w:val="21"/>
        </w:rPr>
      </w:pPr>
    </w:p>
    <w:p w14:paraId="4760A18B">
      <w:pPr>
        <w:ind w:firstLine="420" w:firstLineChars="200"/>
        <w:rPr>
          <w:rFonts w:hint="eastAsia" w:ascii="微软雅黑" w:hAnsi="微软雅黑" w:eastAsia="微软雅黑" w:cs="微软雅黑"/>
          <w:sz w:val="21"/>
          <w:szCs w:val="21"/>
        </w:rPr>
      </w:pPr>
    </w:p>
    <w:p w14:paraId="42CCB468">
      <w:pPr>
        <w:ind w:firstLine="420" w:firstLineChars="200"/>
        <w:rPr>
          <w:rFonts w:hint="eastAsia" w:ascii="微软雅黑" w:hAnsi="微软雅黑" w:eastAsia="微软雅黑" w:cs="微软雅黑"/>
          <w:sz w:val="21"/>
          <w:szCs w:val="21"/>
        </w:rPr>
      </w:pPr>
    </w:p>
    <w:p w14:paraId="4DCD7097">
      <w:pPr>
        <w:ind w:firstLine="420" w:firstLineChars="200"/>
        <w:rPr>
          <w:rFonts w:hint="eastAsia" w:ascii="微软雅黑" w:hAnsi="微软雅黑" w:eastAsia="微软雅黑" w:cs="微软雅黑"/>
          <w:sz w:val="21"/>
          <w:szCs w:val="21"/>
        </w:rPr>
      </w:pPr>
    </w:p>
    <w:p w14:paraId="112FBC66">
      <w:pPr>
        <w:ind w:firstLine="420" w:firstLineChars="200"/>
        <w:rPr>
          <w:rFonts w:hint="eastAsia" w:ascii="微软雅黑" w:hAnsi="微软雅黑" w:eastAsia="微软雅黑" w:cs="微软雅黑"/>
          <w:sz w:val="21"/>
          <w:szCs w:val="21"/>
        </w:rPr>
      </w:pPr>
    </w:p>
    <w:p w14:paraId="46FE1E7A">
      <w:pPr>
        <w:ind w:firstLine="420" w:firstLineChars="200"/>
        <w:rPr>
          <w:rFonts w:hint="eastAsia" w:ascii="微软雅黑" w:hAnsi="微软雅黑" w:eastAsia="微软雅黑" w:cs="微软雅黑"/>
          <w:sz w:val="21"/>
          <w:szCs w:val="21"/>
        </w:rPr>
      </w:pPr>
    </w:p>
    <w:p w14:paraId="6EC1A96E">
      <w:pPr>
        <w:ind w:firstLine="420" w:firstLineChars="200"/>
        <w:rPr>
          <w:rFonts w:hint="eastAsia" w:ascii="微软雅黑" w:hAnsi="微软雅黑" w:eastAsia="微软雅黑" w:cs="微软雅黑"/>
          <w:sz w:val="21"/>
          <w:szCs w:val="21"/>
        </w:rPr>
      </w:pPr>
    </w:p>
    <w:p w14:paraId="0F5E632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032A116E">
      <w:pPr>
        <w:keepNext w:val="0"/>
        <w:keepLines w:val="0"/>
        <w:pageBreakBefore w:val="0"/>
        <w:widowControl w:val="0"/>
        <w:tabs>
          <w:tab w:val="left" w:pos="102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1382390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p>
    <w:p w14:paraId="6FF314B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p>
    <w:p w14:paraId="668A0F0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p>
    <w:p w14:paraId="424BE41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p>
    <w:p w14:paraId="1C28302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十</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highlight w:val="none"/>
          <w14:textFill>
            <w14:solidFill>
              <w14:schemeClr w14:val="tx1"/>
            </w14:solidFill>
          </w14:textFill>
        </w:rPr>
        <w:t>服务时间</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p>
    <w:p w14:paraId="29417782">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工作时间：8</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00-16:30</w:t>
      </w:r>
      <w:r>
        <w:rPr>
          <w:rFonts w:hint="eastAsia" w:ascii="微软雅黑" w:hAnsi="微软雅黑" w:eastAsia="微软雅黑" w:cs="微软雅黑"/>
          <w:sz w:val="21"/>
          <w:szCs w:val="21"/>
          <w:lang w:eastAsia="zh-CN"/>
        </w:rPr>
        <w:t>，夏季</w:t>
      </w:r>
      <w:r>
        <w:rPr>
          <w:rFonts w:hint="eastAsia" w:ascii="微软雅黑" w:hAnsi="微软雅黑" w:eastAsia="微软雅黑" w:cs="微软雅黑"/>
          <w:sz w:val="21"/>
          <w:szCs w:val="21"/>
          <w:lang w:val="en-US" w:eastAsia="zh-CN"/>
        </w:rPr>
        <w:t>延时服务至17:00。</w:t>
      </w:r>
      <w:r>
        <w:rPr>
          <w:rFonts w:hint="eastAsia" w:ascii="微软雅黑" w:hAnsi="微软雅黑" w:eastAsia="微软雅黑" w:cs="微软雅黑"/>
          <w:sz w:val="21"/>
          <w:szCs w:val="21"/>
        </w:rPr>
        <w:t>无假日门诊。</w:t>
      </w:r>
    </w:p>
    <w:p w14:paraId="23A90FC1">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十一、</w:t>
      </w:r>
      <w:r>
        <w:rPr>
          <w:rFonts w:hint="eastAsia" w:ascii="微软雅黑" w:hAnsi="微软雅黑" w:eastAsia="微软雅黑" w:cs="微软雅黑"/>
          <w:b w:val="0"/>
          <w:bCs/>
          <w:color w:val="000000" w:themeColor="text1"/>
          <w:sz w:val="21"/>
          <w:szCs w:val="21"/>
          <w14:textFill>
            <w14:solidFill>
              <w14:schemeClr w14:val="tx1"/>
            </w14:solidFill>
          </w14:textFill>
        </w:rPr>
        <w:t>交通</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情况</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：可</w:t>
      </w: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自行导航前往地址：天津市宝坻区新安镇医院</w:t>
      </w:r>
    </w:p>
    <w:p w14:paraId="4A9D0A0A">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751EE009">
      <w:pPr>
        <w:rPr>
          <w:rFonts w:hint="eastAsia" w:ascii="微软雅黑" w:hAnsi="微软雅黑" w:eastAsia="微软雅黑" w:cs="微软雅黑"/>
          <w:sz w:val="21"/>
          <w:szCs w:val="21"/>
        </w:rPr>
      </w:pPr>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9872A"/>
    <w:multiLevelType w:val="singleLevel"/>
    <w:tmpl w:val="E0F9872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zN2UwZmRkNzY0MmQ0NjAyYWEwMzA3OTI5YzI5ZTMifQ=="/>
  </w:docVars>
  <w:rsids>
    <w:rsidRoot w:val="255D47CF"/>
    <w:rsid w:val="031F679E"/>
    <w:rsid w:val="0B1D66C5"/>
    <w:rsid w:val="255D47CF"/>
    <w:rsid w:val="42565BA2"/>
    <w:rsid w:val="67505ED6"/>
    <w:rsid w:val="710B281C"/>
    <w:rsid w:val="7E724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2765</Words>
  <Characters>2865</Characters>
  <Lines>0</Lines>
  <Paragraphs>0</Paragraphs>
  <TotalTime>62</TotalTime>
  <ScaleCrop>false</ScaleCrop>
  <LinksUpToDate>false</LinksUpToDate>
  <CharactersWithSpaces>2898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2024-09-14T09:46:00Z</dcterms:created>
  <dc:creator>Administrator</dc:creator>
  <cp:lastModifiedBy>Administrator</cp:lastModifiedBy>
  <dcterms:modified xsi:type="dcterms:W3CDTF">2024-09-18T02:20:14Z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3A1B1B9E9C54484893DDCFEDA5EA9070_11</vt:lpwstr>
  </property>
</Properties>
</file>