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DA64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bookmarkStart w:id="0" w:name="Bt"/>
      <w:r>
        <w:rPr>
          <w:rFonts w:hint="eastAsia" w:ascii="Times New Roman" w:hAnsi="Times New Roman" w:eastAsia="方正小标宋简体"/>
          <w:sz w:val="44"/>
          <w:szCs w:val="44"/>
        </w:rPr>
        <w:t>市卫生健康委</w:t>
      </w:r>
      <w:r>
        <w:rPr>
          <w:rFonts w:hint="eastAsia" w:ascii="Times New Roman" w:hAnsi="Times New Roman" w:eastAsia="方正小标宋简体"/>
          <w:sz w:val="44"/>
          <w:szCs w:val="44"/>
          <w:lang w:val="en-US" w:eastAsia="zh-CN"/>
        </w:rPr>
        <w:t xml:space="preserve"> </w:t>
      </w:r>
      <w:r>
        <w:rPr>
          <w:rFonts w:hint="eastAsia" w:ascii="Times New Roman" w:hAnsi="Times New Roman" w:eastAsia="方正小标宋简体"/>
          <w:sz w:val="44"/>
          <w:szCs w:val="44"/>
        </w:rPr>
        <w:t>市疾控局关于印发天津市</w:t>
      </w:r>
    </w:p>
    <w:p w14:paraId="37B17FD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卫生健康行政处罚听证案件中较大数额罚款</w:t>
      </w:r>
    </w:p>
    <w:p w14:paraId="6458927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和没收违法所得相关标准的通知</w:t>
      </w:r>
      <w:bookmarkEnd w:id="0"/>
    </w:p>
    <w:p w14:paraId="0A85E1B4">
      <w:pPr>
        <w:pStyle w:val="2"/>
        <w:rPr>
          <w:rFonts w:hint="eastAsia" w:ascii="Times New Roman" w:hAnsi="Times New Roman" w:eastAsia="方正小标宋简体"/>
          <w:sz w:val="44"/>
          <w:szCs w:val="44"/>
        </w:rPr>
      </w:pPr>
    </w:p>
    <w:p w14:paraId="46E36954">
      <w:pPr>
        <w:pStyle w:val="2"/>
        <w:jc w:val="center"/>
        <w:rPr>
          <w:rFonts w:hint="eastAsia" w:ascii="Times New Roman" w:hAnsi="Times New Roman" w:eastAsia="方正小标宋简体"/>
          <w:sz w:val="44"/>
          <w:szCs w:val="44"/>
        </w:rPr>
      </w:pPr>
      <w:r>
        <w:rPr>
          <w:rFonts w:eastAsia="仿宋_GB2312"/>
          <w:sz w:val="32"/>
          <w:szCs w:val="32"/>
        </w:rPr>
        <w:t>津卫</w:t>
      </w:r>
      <w:r>
        <w:rPr>
          <w:rFonts w:hint="eastAsia" w:eastAsia="仿宋_GB2312"/>
          <w:sz w:val="32"/>
          <w:szCs w:val="32"/>
          <w:lang w:eastAsia="zh-CN"/>
        </w:rPr>
        <w:t>规发</w:t>
      </w:r>
      <w:r>
        <w:rPr>
          <w:rFonts w:eastAsia="仿宋_GB2312"/>
          <w:sz w:val="32"/>
          <w:szCs w:val="32"/>
        </w:rPr>
        <w:t>〔20</w:t>
      </w:r>
      <w:r>
        <w:rPr>
          <w:rFonts w:hint="eastAsia" w:eastAsia="仿宋_GB2312"/>
          <w:sz w:val="32"/>
          <w:szCs w:val="32"/>
          <w:lang w:val="en-US" w:eastAsia="zh-CN"/>
        </w:rPr>
        <w:t>24</w:t>
      </w:r>
      <w:r>
        <w:rPr>
          <w:rFonts w:eastAsia="仿宋_GB2312"/>
          <w:sz w:val="32"/>
          <w:szCs w:val="32"/>
        </w:rPr>
        <w:t>〕</w:t>
      </w:r>
      <w:r>
        <w:rPr>
          <w:rFonts w:hint="eastAsia" w:eastAsia="仿宋_GB2312"/>
          <w:color w:val="auto"/>
          <w:sz w:val="32"/>
          <w:szCs w:val="32"/>
          <w:lang w:val="en-US" w:eastAsia="zh-CN"/>
        </w:rPr>
        <w:t>2</w:t>
      </w:r>
      <w:r>
        <w:rPr>
          <w:rFonts w:eastAsia="仿宋_GB2312"/>
          <w:sz w:val="32"/>
          <w:szCs w:val="32"/>
        </w:rPr>
        <w:t>号</w:t>
      </w:r>
    </w:p>
    <w:p w14:paraId="6C2B36BB">
      <w:pPr>
        <w:keepNext w:val="0"/>
        <w:keepLines w:val="0"/>
        <w:pageBreakBefore w:val="0"/>
        <w:widowControl w:val="0"/>
        <w:kinsoku/>
        <w:wordWrap/>
        <w:overflowPunct/>
        <w:topLinePunct w:val="0"/>
        <w:autoSpaceDE/>
        <w:autoSpaceDN/>
        <w:bidi w:val="0"/>
        <w:snapToGrid/>
        <w:spacing w:line="640" w:lineRule="exact"/>
        <w:textAlignment w:val="auto"/>
        <w:rPr>
          <w:rFonts w:hint="eastAsia" w:ascii="Times New Roman" w:eastAsia="仿宋_GB2312"/>
          <w:sz w:val="32"/>
          <w:szCs w:val="32"/>
        </w:rPr>
      </w:pPr>
    </w:p>
    <w:p w14:paraId="6300C2B7">
      <w:pPr>
        <w:keepNext w:val="0"/>
        <w:keepLines w:val="0"/>
        <w:pageBreakBefore w:val="0"/>
        <w:widowControl w:val="0"/>
        <w:kinsoku/>
        <w:wordWrap/>
        <w:overflowPunct/>
        <w:topLinePunct w:val="0"/>
        <w:autoSpaceDE/>
        <w:autoSpaceDN/>
        <w:bidi w:val="0"/>
        <w:snapToGrid/>
        <w:spacing w:line="560" w:lineRule="exact"/>
        <w:textAlignment w:val="auto"/>
        <w:rPr>
          <w:rFonts w:ascii="Times New Roman" w:eastAsia="仿宋_GB2312"/>
          <w:sz w:val="32"/>
          <w:szCs w:val="32"/>
        </w:rPr>
      </w:pPr>
      <w:r>
        <w:rPr>
          <w:rFonts w:hint="eastAsia" w:ascii="Times New Roman" w:eastAsia="仿宋_GB2312"/>
          <w:sz w:val="32"/>
          <w:szCs w:val="32"/>
          <w:lang w:eastAsia="zh-CN"/>
        </w:rPr>
        <w:t>各区卫生健康委（疾控局）</w:t>
      </w:r>
      <w:r>
        <w:rPr>
          <w:rFonts w:hint="eastAsia" w:ascii="Times New Roman" w:eastAsia="仿宋_GB2312"/>
          <w:sz w:val="32"/>
          <w:szCs w:val="32"/>
        </w:rPr>
        <w:t>：</w:t>
      </w:r>
    </w:p>
    <w:p w14:paraId="5B411779">
      <w:pPr>
        <w:keepNext w:val="0"/>
        <w:keepLines w:val="0"/>
        <w:pageBreakBefore w:val="0"/>
        <w:widowControl w:val="0"/>
        <w:kinsoku/>
        <w:wordWrap/>
        <w:overflowPunct/>
        <w:topLinePunct w:val="0"/>
        <w:autoSpaceDE/>
        <w:autoSpaceDN/>
        <w:bidi w:val="0"/>
        <w:snapToGrid/>
        <w:spacing w:line="560" w:lineRule="exact"/>
        <w:ind w:firstLine="645"/>
        <w:textAlignment w:val="auto"/>
        <w:rPr>
          <w:rFonts w:hint="eastAsia" w:ascii="Times New Roman" w:eastAsia="仿宋_GB2312"/>
          <w:sz w:val="32"/>
          <w:szCs w:val="32"/>
          <w:lang w:eastAsia="zh-CN"/>
        </w:rPr>
      </w:pPr>
      <w:r>
        <w:rPr>
          <w:rFonts w:hint="eastAsia" w:ascii="Times New Roman" w:eastAsia="仿宋_GB2312"/>
          <w:sz w:val="32"/>
          <w:szCs w:val="32"/>
        </w:rPr>
        <w:t>为进一步规范卫生监督执法行为，推进严</w:t>
      </w:r>
      <w:bookmarkStart w:id="1" w:name="_GoBack"/>
      <w:bookmarkEnd w:id="1"/>
      <w:r>
        <w:rPr>
          <w:rFonts w:hint="eastAsia" w:ascii="Times New Roman" w:eastAsia="仿宋_GB2312"/>
          <w:sz w:val="32"/>
          <w:szCs w:val="32"/>
        </w:rPr>
        <w:t>格规范公正文明执法，保证管理相对人听证权利，</w:t>
      </w:r>
      <w:r>
        <w:rPr>
          <w:rFonts w:hint="eastAsia" w:ascii="Times New Roman" w:eastAsia="仿宋_GB2312"/>
          <w:sz w:val="32"/>
          <w:szCs w:val="32"/>
          <w:lang w:eastAsia="zh-CN"/>
        </w:rPr>
        <w:t>按照《中华人民共和国行政处罚法》、《天津市人民政府关于确定行政处罚听证案件中“较大数额罚款”标准的通知》（津政发〔2000〕17号）等有关规定，市卫生健康委、市疾控局联合制定了《天津市卫生健康行政处罚听证案件中较大数额罚款和没收违法所得相关标准》，现印发给你们，请遵照执行。</w:t>
      </w:r>
    </w:p>
    <w:p w14:paraId="7A60EA4E">
      <w:pPr>
        <w:keepNext w:val="0"/>
        <w:keepLines w:val="0"/>
        <w:pageBreakBefore w:val="0"/>
        <w:widowControl w:val="0"/>
        <w:kinsoku/>
        <w:wordWrap/>
        <w:overflowPunct/>
        <w:topLinePunct w:val="0"/>
        <w:autoSpaceDE/>
        <w:autoSpaceDN/>
        <w:bidi w:val="0"/>
        <w:snapToGrid/>
        <w:spacing w:line="560" w:lineRule="exact"/>
        <w:ind w:right="0" w:rightChars="0" w:firstLine="3091" w:firstLineChars="994"/>
        <w:textAlignment w:val="auto"/>
        <w:rPr>
          <w:rFonts w:ascii="Times New Roman" w:eastAsia="仿宋_GB2312"/>
          <w:sz w:val="32"/>
          <w:szCs w:val="32"/>
        </w:rPr>
      </w:pPr>
      <w:r>
        <w:rPr>
          <w:rFonts w:hint="eastAsia" w:ascii="Times New Roman" w:eastAsia="仿宋_GB2312"/>
          <w:sz w:val="32"/>
          <w:szCs w:val="32"/>
        </w:rPr>
        <w:t>　　　　　　</w:t>
      </w:r>
      <w:r>
        <w:rPr>
          <w:rFonts w:hint="eastAsia" w:ascii="Times New Roman" w:eastAsia="仿宋_GB2312"/>
          <w:sz w:val="32"/>
          <w:szCs w:val="32"/>
          <w:lang w:val="en-US" w:eastAsia="zh-CN"/>
        </w:rPr>
        <w:t xml:space="preserve">   </w:t>
      </w:r>
      <w:r>
        <w:rPr>
          <w:rFonts w:hint="eastAsia" w:ascii="Times New Roman" w:hAnsi="Times New Roman" w:eastAsia="仿宋_GB2312"/>
          <w:sz w:val="32"/>
          <w:szCs w:val="32"/>
        </w:rPr>
        <w:t>20</w:t>
      </w:r>
      <w:r>
        <w:rPr>
          <w:rFonts w:hint="eastAsia" w:eastAsia="仿宋_GB2312"/>
          <w:sz w:val="32"/>
          <w:szCs w:val="32"/>
          <w:lang w:val="en-US" w:eastAsia="zh-CN"/>
        </w:rPr>
        <w:t>24</w:t>
      </w:r>
      <w:r>
        <w:rPr>
          <w:rFonts w:hint="eastAsia" w:ascii="Times New Roman" w:hAnsi="Times New Roman" w:eastAsia="仿宋_GB2312"/>
          <w:sz w:val="32"/>
          <w:szCs w:val="32"/>
        </w:rPr>
        <w:t>年</w:t>
      </w:r>
      <w:r>
        <w:rPr>
          <w:rFonts w:hint="eastAsia" w:eastAsia="仿宋_GB2312"/>
          <w:sz w:val="32"/>
          <w:szCs w:val="32"/>
          <w:lang w:val="en-US" w:eastAsia="zh-CN"/>
        </w:rPr>
        <w:t>7</w:t>
      </w:r>
      <w:r>
        <w:rPr>
          <w:rFonts w:hint="eastAsia" w:ascii="Times New Roman" w:hAnsi="Times New Roman" w:eastAsia="仿宋_GB2312"/>
          <w:sz w:val="32"/>
          <w:szCs w:val="32"/>
        </w:rPr>
        <w:t>月</w:t>
      </w:r>
      <w:r>
        <w:rPr>
          <w:rFonts w:hint="eastAsia" w:eastAsia="仿宋_GB2312"/>
          <w:sz w:val="32"/>
          <w:szCs w:val="32"/>
          <w:lang w:val="en-US" w:eastAsia="zh-CN"/>
        </w:rPr>
        <w:t>19</w:t>
      </w:r>
      <w:r>
        <w:rPr>
          <w:rFonts w:hint="eastAsia" w:ascii="Times New Roman" w:hAnsi="Times New Roman" w:eastAsia="仿宋_GB2312"/>
          <w:sz w:val="32"/>
          <w:szCs w:val="32"/>
        </w:rPr>
        <w:t>日　</w:t>
      </w:r>
      <w:r>
        <w:rPr>
          <w:rFonts w:hint="eastAsia" w:ascii="Times New Roman" w:eastAsia="仿宋_GB2312"/>
          <w:sz w:val="32"/>
          <w:szCs w:val="32"/>
        </w:rPr>
        <w:t>　　　</w:t>
      </w:r>
    </w:p>
    <w:p w14:paraId="00E7C753">
      <w:pPr>
        <w:keepNext w:val="0"/>
        <w:keepLines w:val="0"/>
        <w:pageBreakBefore w:val="0"/>
        <w:widowControl w:val="0"/>
        <w:kinsoku/>
        <w:wordWrap/>
        <w:overflowPunct/>
        <w:topLinePunct w:val="0"/>
        <w:autoSpaceDE/>
        <w:autoSpaceDN/>
        <w:bidi w:val="0"/>
        <w:snapToGrid/>
        <w:spacing w:line="560" w:lineRule="exact"/>
        <w:ind w:left="0" w:leftChars="0" w:firstLine="0" w:firstLineChars="0"/>
        <w:textAlignment w:val="auto"/>
        <w:rPr>
          <w:rFonts w:ascii="Times New Roman" w:eastAsia="仿宋_GB2312"/>
          <w:sz w:val="32"/>
          <w:szCs w:val="32"/>
        </w:rPr>
      </w:pPr>
      <w:r>
        <w:rPr>
          <w:rFonts w:hint="eastAsia" w:ascii="Times New Roman" w:eastAsia="仿宋_GB2312"/>
          <w:sz w:val="32"/>
          <w:szCs w:val="32"/>
          <w:lang w:val="en-US" w:eastAsia="zh-CN"/>
        </w:rPr>
        <w:t xml:space="preserve">    </w:t>
      </w:r>
      <w:r>
        <w:rPr>
          <w:rFonts w:hint="eastAsia" w:ascii="Times New Roman" w:eastAsia="仿宋_GB2312"/>
          <w:sz w:val="32"/>
          <w:szCs w:val="32"/>
        </w:rPr>
        <w:t>（</w:t>
      </w:r>
      <w:r>
        <w:rPr>
          <w:rFonts w:hint="eastAsia" w:ascii="Times New Roman" w:eastAsia="仿宋_GB2312"/>
          <w:sz w:val="32"/>
          <w:szCs w:val="32"/>
          <w:lang w:eastAsia="zh-CN"/>
        </w:rPr>
        <w:t>此件主动公开</w:t>
      </w:r>
      <w:r>
        <w:rPr>
          <w:rFonts w:hint="eastAsia" w:ascii="Times New Roman" w:eastAsia="仿宋_GB2312"/>
          <w:sz w:val="32"/>
          <w:szCs w:val="32"/>
        </w:rPr>
        <w:t>）</w:t>
      </w:r>
    </w:p>
    <w:p w14:paraId="703EFBD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eastAsia="方正小标宋简体"/>
          <w:sz w:val="44"/>
          <w:szCs w:val="44"/>
        </w:rPr>
      </w:pPr>
      <w:r>
        <w:rPr>
          <w:rFonts w:ascii="Times New Roman" w:eastAsia="黑体"/>
          <w:sz w:val="32"/>
          <w:szCs w:val="32"/>
        </w:rPr>
        <w:br w:type="page"/>
      </w:r>
    </w:p>
    <w:p w14:paraId="5CAD7C6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eastAsia="方正小标宋简体"/>
          <w:sz w:val="44"/>
          <w:szCs w:val="44"/>
        </w:rPr>
      </w:pPr>
      <w:r>
        <w:rPr>
          <w:rFonts w:hint="eastAsia" w:ascii="Times New Roman" w:eastAsia="方正小标宋简体"/>
          <w:sz w:val="44"/>
          <w:szCs w:val="44"/>
        </w:rPr>
        <w:t>天津市卫生</w:t>
      </w:r>
      <w:r>
        <w:rPr>
          <w:rFonts w:hint="eastAsia" w:ascii="Times New Roman" w:eastAsia="方正小标宋简体"/>
          <w:sz w:val="44"/>
          <w:szCs w:val="44"/>
          <w:lang w:eastAsia="zh-CN"/>
        </w:rPr>
        <w:t>健康</w:t>
      </w:r>
      <w:r>
        <w:rPr>
          <w:rFonts w:hint="eastAsia" w:ascii="Times New Roman" w:eastAsia="方正小标宋简体"/>
          <w:sz w:val="44"/>
          <w:szCs w:val="44"/>
        </w:rPr>
        <w:t>行政处罚听证案件中</w:t>
      </w:r>
    </w:p>
    <w:p w14:paraId="057BFDE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eastAsia="方正小标宋简体"/>
          <w:color w:val="FF0000"/>
          <w:sz w:val="44"/>
          <w:szCs w:val="44"/>
        </w:rPr>
      </w:pPr>
      <w:r>
        <w:rPr>
          <w:rFonts w:hint="eastAsia" w:ascii="Times New Roman" w:eastAsia="方正小标宋简体"/>
          <w:sz w:val="44"/>
          <w:szCs w:val="44"/>
        </w:rPr>
        <w:t>较大数额罚款和没收违法所得相关标准</w:t>
      </w:r>
    </w:p>
    <w:p w14:paraId="7243ECF0">
      <w:pPr>
        <w:spacing w:line="640" w:lineRule="exact"/>
        <w:jc w:val="center"/>
        <w:rPr>
          <w:rFonts w:ascii="Times New Roman" w:eastAsia="方正小标宋简体"/>
          <w:sz w:val="36"/>
          <w:szCs w:val="36"/>
        </w:rPr>
      </w:pPr>
    </w:p>
    <w:p w14:paraId="29AFEA45">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ascii="Times New Roman" w:eastAsia="仿宋_GB2312"/>
          <w:sz w:val="32"/>
          <w:szCs w:val="32"/>
        </w:rPr>
      </w:pPr>
      <w:r>
        <w:rPr>
          <w:rFonts w:hint="eastAsia" w:ascii="Times New Roman" w:eastAsia="仿宋_GB2312"/>
          <w:color w:val="auto"/>
          <w:sz w:val="32"/>
          <w:szCs w:val="32"/>
          <w:lang w:eastAsia="zh-CN"/>
        </w:rPr>
        <w:t>依据</w:t>
      </w:r>
      <w:r>
        <w:rPr>
          <w:rFonts w:hint="eastAsia" w:ascii="Times New Roman" w:eastAsia="仿宋_GB2312"/>
          <w:color w:val="auto"/>
          <w:sz w:val="32"/>
          <w:szCs w:val="32"/>
        </w:rPr>
        <w:t>《中华人民共和国行政处罚法》第</w:t>
      </w:r>
      <w:r>
        <w:rPr>
          <w:rFonts w:hint="eastAsia" w:ascii="Times New Roman" w:eastAsia="仿宋_GB2312"/>
          <w:color w:val="auto"/>
          <w:sz w:val="32"/>
          <w:szCs w:val="32"/>
          <w:lang w:eastAsia="zh-CN"/>
        </w:rPr>
        <w:t>六十三</w:t>
      </w:r>
      <w:r>
        <w:rPr>
          <w:rFonts w:hint="eastAsia" w:ascii="Times New Roman" w:eastAsia="仿宋_GB2312"/>
          <w:color w:val="auto"/>
          <w:sz w:val="32"/>
          <w:szCs w:val="32"/>
        </w:rPr>
        <w:t>条</w:t>
      </w:r>
      <w:r>
        <w:rPr>
          <w:rFonts w:hint="eastAsia" w:ascii="Times New Roman" w:eastAsia="仿宋_GB2312"/>
          <w:color w:val="auto"/>
          <w:sz w:val="32"/>
          <w:szCs w:val="32"/>
          <w:lang w:eastAsia="zh-CN"/>
        </w:rPr>
        <w:t>第一款，</w:t>
      </w:r>
      <w:r>
        <w:rPr>
          <w:rFonts w:hint="eastAsia" w:eastAsia="仿宋_GB2312"/>
          <w:color w:val="auto"/>
          <w:sz w:val="32"/>
          <w:szCs w:val="32"/>
          <w:lang w:eastAsia="zh-CN"/>
        </w:rPr>
        <w:t>以</w:t>
      </w:r>
      <w:r>
        <w:rPr>
          <w:rFonts w:hint="eastAsia" w:ascii="Times New Roman" w:eastAsia="仿宋_GB2312"/>
          <w:sz w:val="32"/>
          <w:szCs w:val="32"/>
          <w:lang w:eastAsia="zh-CN"/>
        </w:rPr>
        <w:t>及</w:t>
      </w:r>
      <w:r>
        <w:rPr>
          <w:rFonts w:hint="eastAsia" w:ascii="Times New Roman" w:eastAsia="仿宋_GB2312"/>
          <w:sz w:val="32"/>
          <w:szCs w:val="32"/>
        </w:rPr>
        <w:t>《天津市人民政府关于确定行政处罚听证案件中</w:t>
      </w:r>
      <w:r>
        <w:rPr>
          <w:rFonts w:hint="eastAsia" w:ascii="Times New Roman" w:eastAsia="仿宋_GB2312"/>
          <w:sz w:val="32"/>
          <w:szCs w:val="32"/>
          <w:lang w:eastAsia="zh-CN"/>
        </w:rPr>
        <w:t>“较大数额罚款”</w:t>
      </w:r>
      <w:r>
        <w:rPr>
          <w:rFonts w:hint="eastAsia" w:ascii="Times New Roman" w:eastAsia="仿宋_GB2312"/>
          <w:sz w:val="32"/>
          <w:szCs w:val="32"/>
        </w:rPr>
        <w:t>标准的通知》（津政发</w:t>
      </w:r>
      <w:r>
        <w:rPr>
          <w:rFonts w:eastAsia="仿宋_GB2312"/>
          <w:sz w:val="32"/>
          <w:szCs w:val="32"/>
        </w:rPr>
        <w:t>〔20</w:t>
      </w:r>
      <w:r>
        <w:rPr>
          <w:rFonts w:hint="eastAsia" w:eastAsia="仿宋_GB2312"/>
          <w:sz w:val="32"/>
          <w:szCs w:val="32"/>
          <w:lang w:val="en-US" w:eastAsia="zh-CN"/>
        </w:rPr>
        <w:t>00</w:t>
      </w:r>
      <w:r>
        <w:rPr>
          <w:rFonts w:eastAsia="仿宋_GB2312"/>
          <w:sz w:val="32"/>
          <w:szCs w:val="32"/>
        </w:rPr>
        <w:t>〕</w:t>
      </w:r>
      <w:r>
        <w:rPr>
          <w:rFonts w:hint="default" w:ascii="Times New Roman" w:eastAsia="仿宋_GB2312"/>
          <w:sz w:val="32"/>
          <w:szCs w:val="32"/>
        </w:rPr>
        <w:t>17</w:t>
      </w:r>
      <w:r>
        <w:rPr>
          <w:rFonts w:hint="eastAsia" w:ascii="Times New Roman" w:eastAsia="仿宋_GB2312"/>
          <w:sz w:val="32"/>
          <w:szCs w:val="32"/>
        </w:rPr>
        <w:t>号）的有关规定</w:t>
      </w:r>
      <w:r>
        <w:rPr>
          <w:rFonts w:hint="eastAsia" w:ascii="Times New Roman" w:eastAsia="仿宋_GB2312"/>
          <w:sz w:val="32"/>
          <w:szCs w:val="32"/>
          <w:lang w:eastAsia="zh-CN"/>
        </w:rPr>
        <w:t>，</w:t>
      </w:r>
      <w:r>
        <w:rPr>
          <w:rFonts w:hint="eastAsia" w:ascii="Times New Roman" w:eastAsia="仿宋_GB2312"/>
          <w:sz w:val="32"/>
          <w:szCs w:val="32"/>
        </w:rPr>
        <w:t>结合</w:t>
      </w:r>
      <w:r>
        <w:rPr>
          <w:rFonts w:hint="eastAsia" w:ascii="Times New Roman" w:eastAsia="仿宋_GB2312"/>
          <w:sz w:val="32"/>
          <w:szCs w:val="32"/>
          <w:lang w:eastAsia="zh-CN"/>
        </w:rPr>
        <w:t>我市卫生健康行政处罚</w:t>
      </w:r>
      <w:r>
        <w:rPr>
          <w:rFonts w:hint="eastAsia" w:ascii="Times New Roman" w:eastAsia="仿宋_GB2312"/>
          <w:sz w:val="32"/>
          <w:szCs w:val="32"/>
        </w:rPr>
        <w:t>工作实际</w:t>
      </w:r>
      <w:r>
        <w:rPr>
          <w:rFonts w:hint="eastAsia" w:eastAsia="仿宋_GB2312"/>
          <w:sz w:val="32"/>
          <w:szCs w:val="32"/>
          <w:lang w:eastAsia="zh-CN"/>
        </w:rPr>
        <w:t>，</w:t>
      </w:r>
      <w:r>
        <w:rPr>
          <w:rFonts w:hint="eastAsia" w:ascii="Times New Roman" w:eastAsia="仿宋_GB2312"/>
          <w:sz w:val="32"/>
          <w:szCs w:val="32"/>
        </w:rPr>
        <w:t>制定</w:t>
      </w:r>
      <w:r>
        <w:rPr>
          <w:rFonts w:hint="eastAsia" w:ascii="Times New Roman" w:eastAsia="仿宋_GB2312"/>
          <w:sz w:val="32"/>
          <w:szCs w:val="32"/>
          <w:lang w:eastAsia="zh-CN"/>
        </w:rPr>
        <w:t>《</w:t>
      </w:r>
      <w:r>
        <w:rPr>
          <w:rFonts w:hint="eastAsia" w:ascii="Times New Roman" w:eastAsia="仿宋_GB2312"/>
          <w:sz w:val="32"/>
          <w:szCs w:val="32"/>
        </w:rPr>
        <w:t>天津市卫生</w:t>
      </w:r>
      <w:r>
        <w:rPr>
          <w:rFonts w:hint="eastAsia" w:ascii="Times New Roman" w:eastAsia="仿宋_GB2312"/>
          <w:sz w:val="32"/>
          <w:szCs w:val="32"/>
          <w:lang w:eastAsia="zh-CN"/>
        </w:rPr>
        <w:t>健康</w:t>
      </w:r>
      <w:r>
        <w:rPr>
          <w:rFonts w:hint="eastAsia" w:ascii="Times New Roman" w:eastAsia="仿宋_GB2312"/>
          <w:sz w:val="32"/>
          <w:szCs w:val="32"/>
        </w:rPr>
        <w:t>行政处罚听证案件中较大数额罚款和没收违法所得相关标准</w:t>
      </w:r>
      <w:r>
        <w:rPr>
          <w:rFonts w:hint="eastAsia" w:ascii="Times New Roman" w:eastAsia="仿宋_GB2312"/>
          <w:sz w:val="32"/>
          <w:szCs w:val="32"/>
          <w:lang w:eastAsia="zh-CN"/>
        </w:rPr>
        <w:t>》</w:t>
      </w:r>
      <w:r>
        <w:rPr>
          <w:rFonts w:hint="eastAsia" w:ascii="Times New Roman" w:eastAsia="仿宋_GB2312"/>
          <w:sz w:val="32"/>
          <w:szCs w:val="32"/>
        </w:rPr>
        <w:t>，规定如下：</w:t>
      </w:r>
    </w:p>
    <w:p w14:paraId="736EA5B3">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一、“较大数额罚款”听证标准</w:t>
      </w:r>
    </w:p>
    <w:p w14:paraId="2D80FCEC">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（一）有罚款</w:t>
      </w:r>
      <w:r>
        <w:rPr>
          <w:rFonts w:hint="eastAsia" w:ascii="Times New Roman" w:hAnsi="Times New Roman" w:eastAsia="楷体_GB2312" w:cs="楷体_GB2312"/>
          <w:sz w:val="32"/>
          <w:szCs w:val="32"/>
        </w:rPr>
        <w:t>最高</w:t>
      </w:r>
      <w:r>
        <w:rPr>
          <w:rFonts w:hint="eastAsia" w:ascii="Times New Roman" w:hAnsi="Times New Roman" w:eastAsia="楷体_GB2312" w:cs="楷体_GB2312"/>
          <w:sz w:val="32"/>
          <w:szCs w:val="32"/>
          <w:lang w:eastAsia="zh-CN"/>
        </w:rPr>
        <w:t>数额</w:t>
      </w:r>
      <w:r>
        <w:rPr>
          <w:rFonts w:hint="eastAsia" w:ascii="Times New Roman" w:hAnsi="Times New Roman" w:eastAsia="楷体_GB2312" w:cs="楷体_GB2312"/>
          <w:sz w:val="32"/>
          <w:szCs w:val="32"/>
        </w:rPr>
        <w:t>的“较大数额罚款”听证标准</w:t>
      </w:r>
    </w:p>
    <w:p w14:paraId="5A9A6E7B">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Times New Roman" w:eastAsia="仿宋_GB2312"/>
          <w:sz w:val="32"/>
          <w:szCs w:val="32"/>
        </w:rPr>
      </w:pPr>
      <w:r>
        <w:rPr>
          <w:rFonts w:hint="eastAsia" w:ascii="Times New Roman" w:eastAsia="仿宋_GB2312"/>
          <w:sz w:val="32"/>
          <w:szCs w:val="32"/>
        </w:rPr>
        <w:t xml:space="preserve">以有关法律、法规、规章规定的对某类违法行为罚款最高限额的百分之五十（含百分之五十）为标准。但有下列情形之一的，不视为“较大数额罚款”： </w:t>
      </w:r>
    </w:p>
    <w:p w14:paraId="59A554A4">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Times New Roman" w:eastAsia="仿宋_GB2312"/>
          <w:sz w:val="32"/>
          <w:szCs w:val="32"/>
        </w:rPr>
      </w:pPr>
      <w:r>
        <w:rPr>
          <w:rFonts w:hint="eastAsia" w:ascii="Times New Roman" w:eastAsia="仿宋_GB2312"/>
          <w:sz w:val="32"/>
          <w:szCs w:val="32"/>
          <w:lang w:val="en-US" w:eastAsia="zh-CN"/>
        </w:rPr>
        <w:t>1.</w:t>
      </w:r>
      <w:r>
        <w:rPr>
          <w:rFonts w:hint="eastAsia" w:ascii="Times New Roman" w:eastAsia="仿宋_GB2312"/>
          <w:sz w:val="32"/>
          <w:szCs w:val="32"/>
        </w:rPr>
        <w:t>对非经营活动中的违法行为罚款数额不足</w:t>
      </w:r>
      <w:r>
        <w:rPr>
          <w:rFonts w:hint="eastAsia" w:ascii="Times New Roman" w:eastAsia="仿宋_GB2312"/>
          <w:sz w:val="32"/>
          <w:szCs w:val="32"/>
          <w:lang w:val="en-US" w:eastAsia="zh-CN"/>
        </w:rPr>
        <w:t>500</w:t>
      </w:r>
      <w:r>
        <w:rPr>
          <w:rFonts w:hint="eastAsia" w:ascii="Times New Roman" w:eastAsia="仿宋_GB2312"/>
          <w:sz w:val="32"/>
          <w:szCs w:val="32"/>
        </w:rPr>
        <w:t>元（不含</w:t>
      </w:r>
      <w:r>
        <w:rPr>
          <w:rFonts w:hint="eastAsia" w:ascii="Times New Roman" w:eastAsia="仿宋_GB2312"/>
          <w:sz w:val="32"/>
          <w:szCs w:val="32"/>
          <w:lang w:val="en-US" w:eastAsia="zh-CN"/>
        </w:rPr>
        <w:t>500</w:t>
      </w:r>
      <w:r>
        <w:rPr>
          <w:rFonts w:hint="eastAsia" w:ascii="Times New Roman" w:eastAsia="仿宋_GB2312"/>
          <w:sz w:val="32"/>
          <w:szCs w:val="32"/>
        </w:rPr>
        <w:t>元）的；</w:t>
      </w:r>
    </w:p>
    <w:p w14:paraId="2754D04D">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Times New Roman" w:hAnsi="Times New Roman" w:eastAsia="楷体_GB2312" w:cs="楷体_GB2312"/>
          <w:sz w:val="32"/>
          <w:szCs w:val="32"/>
          <w:lang w:eastAsia="zh-CN"/>
        </w:rPr>
      </w:pPr>
      <w:r>
        <w:rPr>
          <w:rFonts w:hint="eastAsia" w:ascii="Times New Roman" w:eastAsia="仿宋_GB2312"/>
          <w:sz w:val="32"/>
          <w:szCs w:val="32"/>
          <w:lang w:val="en-US" w:eastAsia="zh-CN"/>
        </w:rPr>
        <w:t>2.</w:t>
      </w:r>
      <w:r>
        <w:rPr>
          <w:rFonts w:hint="eastAsia" w:ascii="Times New Roman" w:eastAsia="仿宋_GB2312"/>
          <w:sz w:val="32"/>
          <w:szCs w:val="32"/>
        </w:rPr>
        <w:t>对经营活动中的违法行为罚款数额不足１万元（不含１万元）的。</w:t>
      </w:r>
    </w:p>
    <w:p w14:paraId="58D10C71">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（二）仅规定罚款倍数的“较大数额罚款”听证标准</w:t>
      </w:r>
    </w:p>
    <w:p w14:paraId="074B3F37">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Times New Roman" w:eastAsia="仿宋_GB2312"/>
          <w:sz w:val="32"/>
          <w:szCs w:val="32"/>
        </w:rPr>
      </w:pPr>
      <w:r>
        <w:rPr>
          <w:rFonts w:hint="eastAsia" w:ascii="Times New Roman" w:eastAsia="仿宋_GB2312"/>
          <w:sz w:val="32"/>
          <w:szCs w:val="32"/>
        </w:rPr>
        <w:t>有关法律、法规、规章规定罚款数额为违法所得倍数范围的，以违法所得倍数的上限下限之和的50%（含50%）为标准。如“处违法所得2倍以上5倍以下罚款”，则违法所得3.5倍以上（含3.5倍）为标准。</w:t>
      </w:r>
    </w:p>
    <w:p w14:paraId="7E4203B8">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二、“较大数额违法所得”听证标准</w:t>
      </w:r>
    </w:p>
    <w:p w14:paraId="428810DA">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（一）有罚款罚种的“较大数额违法所得”听证标准</w:t>
      </w:r>
    </w:p>
    <w:p w14:paraId="50E59459">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Times New Roman" w:eastAsia="仿宋_GB2312"/>
          <w:sz w:val="32"/>
          <w:szCs w:val="32"/>
        </w:rPr>
      </w:pPr>
      <w:r>
        <w:rPr>
          <w:rFonts w:hint="eastAsia" w:ascii="Times New Roman" w:eastAsia="仿宋_GB2312"/>
          <w:sz w:val="32"/>
          <w:szCs w:val="32"/>
          <w:lang w:val="en-US" w:eastAsia="zh-CN"/>
        </w:rPr>
        <w:t>参照本《标准》中第一条“较大数额罚款”听证标准确定。</w:t>
      </w:r>
    </w:p>
    <w:p w14:paraId="2B66A0E0">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lang w:eastAsia="zh-CN"/>
        </w:rPr>
        <w:t>（二）</w:t>
      </w:r>
      <w:r>
        <w:rPr>
          <w:rFonts w:hint="eastAsia" w:ascii="Times New Roman" w:hAnsi="Times New Roman" w:eastAsia="楷体_GB2312" w:cs="楷体_GB2312"/>
          <w:sz w:val="32"/>
          <w:szCs w:val="32"/>
        </w:rPr>
        <w:t>无罚款罚种的“较大数额违法所得”听证标准</w:t>
      </w:r>
    </w:p>
    <w:p w14:paraId="0D8AA10C">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Times New Roman" w:eastAsia="仿宋_GB2312"/>
          <w:sz w:val="32"/>
          <w:szCs w:val="32"/>
        </w:rPr>
      </w:pPr>
      <w:r>
        <w:rPr>
          <w:rFonts w:hint="eastAsia" w:ascii="Times New Roman" w:eastAsia="仿宋_GB2312"/>
          <w:sz w:val="32"/>
          <w:szCs w:val="32"/>
          <w:lang w:eastAsia="zh-CN"/>
        </w:rPr>
        <w:t>同一处罚条款中无罚款罚种的，以</w:t>
      </w:r>
      <w:r>
        <w:rPr>
          <w:rFonts w:hint="eastAsia" w:ascii="Times New Roman" w:eastAsia="仿宋_GB2312"/>
          <w:sz w:val="32"/>
          <w:szCs w:val="32"/>
        </w:rPr>
        <w:t>对公民没收违法所得数额达5000元以上</w:t>
      </w:r>
      <w:r>
        <w:rPr>
          <w:rFonts w:hint="eastAsia" w:ascii="Times New Roman" w:eastAsia="仿宋_GB2312"/>
          <w:sz w:val="32"/>
          <w:szCs w:val="32"/>
          <w:lang w:eastAsia="zh-CN"/>
        </w:rPr>
        <w:t>（含</w:t>
      </w:r>
      <w:r>
        <w:rPr>
          <w:rFonts w:hint="eastAsia" w:ascii="Times New Roman" w:eastAsia="仿宋_GB2312"/>
          <w:sz w:val="32"/>
          <w:szCs w:val="32"/>
          <w:lang w:val="en-US" w:eastAsia="zh-CN"/>
        </w:rPr>
        <w:t>5000元</w:t>
      </w:r>
      <w:r>
        <w:rPr>
          <w:rFonts w:hint="eastAsia" w:ascii="Times New Roman" w:eastAsia="仿宋_GB2312"/>
          <w:sz w:val="32"/>
          <w:szCs w:val="32"/>
          <w:lang w:eastAsia="zh-CN"/>
        </w:rPr>
        <w:t>）</w:t>
      </w:r>
      <w:r>
        <w:rPr>
          <w:rFonts w:hint="eastAsia" w:ascii="Times New Roman" w:eastAsia="仿宋_GB2312"/>
          <w:sz w:val="32"/>
          <w:szCs w:val="32"/>
        </w:rPr>
        <w:t>，对法人或者其他组织没收违法所得数额达5</w:t>
      </w:r>
      <w:r>
        <w:rPr>
          <w:rFonts w:hint="eastAsia" w:ascii="Times New Roman" w:eastAsia="仿宋_GB2312"/>
          <w:sz w:val="32"/>
          <w:szCs w:val="32"/>
          <w:lang w:eastAsia="zh-CN"/>
        </w:rPr>
        <w:t>万</w:t>
      </w:r>
      <w:r>
        <w:rPr>
          <w:rFonts w:hint="eastAsia" w:ascii="Times New Roman" w:eastAsia="仿宋_GB2312"/>
          <w:sz w:val="32"/>
          <w:szCs w:val="32"/>
        </w:rPr>
        <w:t>元以上</w:t>
      </w:r>
      <w:r>
        <w:rPr>
          <w:rFonts w:hint="eastAsia" w:ascii="Times New Roman" w:eastAsia="仿宋_GB2312"/>
          <w:sz w:val="32"/>
          <w:szCs w:val="32"/>
          <w:lang w:eastAsia="zh-CN"/>
        </w:rPr>
        <w:t>（含</w:t>
      </w:r>
      <w:r>
        <w:rPr>
          <w:rFonts w:hint="eastAsia" w:ascii="Times New Roman" w:eastAsia="仿宋_GB2312"/>
          <w:sz w:val="32"/>
          <w:szCs w:val="32"/>
          <w:lang w:val="en-US" w:eastAsia="zh-CN"/>
        </w:rPr>
        <w:t>5万元</w:t>
      </w:r>
      <w:r>
        <w:rPr>
          <w:rFonts w:hint="eastAsia" w:ascii="Times New Roman" w:eastAsia="仿宋_GB2312"/>
          <w:sz w:val="32"/>
          <w:szCs w:val="32"/>
          <w:lang w:eastAsia="zh-CN"/>
        </w:rPr>
        <w:t>）为标准</w:t>
      </w:r>
      <w:r>
        <w:rPr>
          <w:rFonts w:hint="eastAsia" w:ascii="Times New Roman" w:eastAsia="仿宋_GB2312"/>
          <w:sz w:val="32"/>
          <w:szCs w:val="32"/>
        </w:rPr>
        <w:t>。</w:t>
      </w:r>
    </w:p>
    <w:p w14:paraId="07E62D68">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eastAsia="仿宋_GB2312"/>
          <w:sz w:val="32"/>
          <w:szCs w:val="32"/>
        </w:rPr>
      </w:pPr>
      <w:r>
        <w:rPr>
          <w:rFonts w:hint="eastAsia" w:ascii="Times New Roman" w:eastAsia="仿宋_GB2312"/>
          <w:sz w:val="32"/>
          <w:szCs w:val="32"/>
        </w:rPr>
        <w:t>本办法自2024年</w:t>
      </w:r>
      <w:r>
        <w:rPr>
          <w:rFonts w:hint="default" w:ascii="Times New Roman" w:eastAsia="仿宋_GB2312"/>
          <w:sz w:val="32"/>
          <w:szCs w:val="32"/>
          <w:lang w:val="en-US"/>
        </w:rPr>
        <w:t>9</w:t>
      </w:r>
      <w:r>
        <w:rPr>
          <w:rFonts w:hint="eastAsia" w:ascii="Times New Roman" w:eastAsia="仿宋_GB2312"/>
          <w:sz w:val="32"/>
          <w:szCs w:val="32"/>
        </w:rPr>
        <w:t>月</w:t>
      </w:r>
      <w:r>
        <w:rPr>
          <w:rFonts w:hint="default" w:ascii="Times New Roman" w:eastAsia="仿宋_GB2312"/>
          <w:sz w:val="32"/>
          <w:szCs w:val="32"/>
          <w:lang w:val="en-US"/>
        </w:rPr>
        <w:t>1</w:t>
      </w:r>
      <w:r>
        <w:rPr>
          <w:rFonts w:hint="eastAsia" w:ascii="Times New Roman" w:eastAsia="仿宋_GB2312"/>
          <w:sz w:val="32"/>
          <w:szCs w:val="32"/>
        </w:rPr>
        <w:t>日起施行，有效期5年。</w:t>
      </w:r>
    </w:p>
    <w:p w14:paraId="7504623C">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Times New Roman" w:eastAsia="仿宋_GB2312"/>
          <w:sz w:val="32"/>
          <w:szCs w:val="32"/>
        </w:rPr>
      </w:pPr>
    </w:p>
    <w:p w14:paraId="5F4262B1">
      <w:pPr>
        <w:rPr>
          <w:rFonts w:ascii="Times New Roman" w:eastAsia="仿宋_GB2312"/>
          <w:sz w:val="32"/>
          <w:szCs w:val="32"/>
        </w:rPr>
      </w:pPr>
    </w:p>
    <w:p w14:paraId="72CB5C16">
      <w:pPr>
        <w:rPr>
          <w:rFonts w:ascii="Times New Roman" w:eastAsia="仿宋_GB2312"/>
          <w:sz w:val="32"/>
          <w:szCs w:val="32"/>
        </w:rPr>
      </w:pPr>
    </w:p>
    <w:p w14:paraId="2D032589">
      <w:pPr>
        <w:rPr>
          <w:rFonts w:ascii="Times New Roman" w:eastAsia="仿宋_GB2312"/>
          <w:sz w:val="32"/>
          <w:szCs w:val="32"/>
        </w:rPr>
      </w:pPr>
    </w:p>
    <w:p w14:paraId="6B5179C8">
      <w:pPr>
        <w:rPr>
          <w:rFonts w:ascii="Times New Roman" w:eastAsia="仿宋_GB2312"/>
          <w:sz w:val="32"/>
          <w:szCs w:val="32"/>
        </w:rPr>
      </w:pPr>
    </w:p>
    <w:p w14:paraId="78048AD9">
      <w:pPr>
        <w:rPr>
          <w:rFonts w:ascii="Times New Roman" w:eastAsia="仿宋_GB2312"/>
          <w:sz w:val="32"/>
          <w:szCs w:val="32"/>
        </w:rPr>
      </w:pPr>
    </w:p>
    <w:p w14:paraId="471853ED">
      <w:pPr>
        <w:rPr>
          <w:rFonts w:ascii="Times New Roman" w:eastAsia="仿宋_GB2312"/>
          <w:sz w:val="32"/>
          <w:szCs w:val="32"/>
        </w:rPr>
      </w:pPr>
    </w:p>
    <w:p w14:paraId="74BE0392">
      <w:pPr>
        <w:ind w:left="846" w:leftChars="142" w:right="0" w:rightChars="0" w:hanging="561" w:hangingChars="207"/>
        <w:rPr>
          <w:rFonts w:ascii="Times New Roman" w:eastAsia="仿宋_GB2312"/>
          <w:sz w:val="28"/>
          <w:szCs w:val="28"/>
        </w:rPr>
      </w:pPr>
    </w:p>
    <w:sectPr>
      <w:footerReference r:id="rId3" w:type="default"/>
      <w:footerReference r:id="rId4" w:type="even"/>
      <w:pgSz w:w="11906" w:h="16838"/>
      <w:pgMar w:top="2098" w:right="1474" w:bottom="1984" w:left="1588" w:header="851" w:footer="1587" w:gutter="0"/>
      <w:pgBorders>
        <w:top w:val="none" w:sz="0" w:space="0"/>
        <w:left w:val="none" w:sz="0" w:space="0"/>
        <w:bottom w:val="none" w:sz="0" w:space="0"/>
        <w:right w:val="none" w:sz="0" w:space="0"/>
      </w:pgBorders>
      <w:pgNumType w:fmt="decimal" w:start="1"/>
      <w:cols w:space="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1991D">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2AC09C">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E2AC09C">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34EE2">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7240FE5C">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trackRevisions w:val="1"/>
  <w:documentProtection w:enforcement="0"/>
  <w:defaultTabStop w:val="420"/>
  <w:drawingGridHorizontalSpacing w:val="10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BBF"/>
    <w:rsid w:val="000165EF"/>
    <w:rsid w:val="000D1E4A"/>
    <w:rsid w:val="00191724"/>
    <w:rsid w:val="001C4592"/>
    <w:rsid w:val="001F1B22"/>
    <w:rsid w:val="0024759F"/>
    <w:rsid w:val="0029253F"/>
    <w:rsid w:val="00293CFC"/>
    <w:rsid w:val="002A03C9"/>
    <w:rsid w:val="002B5616"/>
    <w:rsid w:val="002C7628"/>
    <w:rsid w:val="002F3459"/>
    <w:rsid w:val="00344168"/>
    <w:rsid w:val="003756A3"/>
    <w:rsid w:val="003A0DD8"/>
    <w:rsid w:val="003F3399"/>
    <w:rsid w:val="00503044"/>
    <w:rsid w:val="005033A3"/>
    <w:rsid w:val="00537907"/>
    <w:rsid w:val="00545261"/>
    <w:rsid w:val="00573249"/>
    <w:rsid w:val="005C412B"/>
    <w:rsid w:val="005F47A5"/>
    <w:rsid w:val="006014A1"/>
    <w:rsid w:val="00603FDD"/>
    <w:rsid w:val="0067015C"/>
    <w:rsid w:val="0068062F"/>
    <w:rsid w:val="00697C2A"/>
    <w:rsid w:val="006C6701"/>
    <w:rsid w:val="0072398C"/>
    <w:rsid w:val="007241E8"/>
    <w:rsid w:val="007620E7"/>
    <w:rsid w:val="007636A3"/>
    <w:rsid w:val="007718F1"/>
    <w:rsid w:val="0089419C"/>
    <w:rsid w:val="008D3DDA"/>
    <w:rsid w:val="008E71BE"/>
    <w:rsid w:val="00901A97"/>
    <w:rsid w:val="00904DB0"/>
    <w:rsid w:val="009572CF"/>
    <w:rsid w:val="009A2A12"/>
    <w:rsid w:val="009C3B2B"/>
    <w:rsid w:val="009D42C8"/>
    <w:rsid w:val="00A508D7"/>
    <w:rsid w:val="00A5097B"/>
    <w:rsid w:val="00A57BC4"/>
    <w:rsid w:val="00A752C1"/>
    <w:rsid w:val="00B16BBF"/>
    <w:rsid w:val="00B576A6"/>
    <w:rsid w:val="00BB5297"/>
    <w:rsid w:val="00BC3B9C"/>
    <w:rsid w:val="00BD52E7"/>
    <w:rsid w:val="00C36F24"/>
    <w:rsid w:val="00C479AC"/>
    <w:rsid w:val="00C844C9"/>
    <w:rsid w:val="00CE5A49"/>
    <w:rsid w:val="00D1226A"/>
    <w:rsid w:val="00D56F19"/>
    <w:rsid w:val="00D73381"/>
    <w:rsid w:val="00E232A9"/>
    <w:rsid w:val="00EA28EB"/>
    <w:rsid w:val="00EF1531"/>
    <w:rsid w:val="00F34CA3"/>
    <w:rsid w:val="00F403AD"/>
    <w:rsid w:val="00F43C77"/>
    <w:rsid w:val="00F51BBE"/>
    <w:rsid w:val="00FC3993"/>
    <w:rsid w:val="00FC7552"/>
    <w:rsid w:val="00FD4084"/>
    <w:rsid w:val="00FD7DE4"/>
    <w:rsid w:val="13FFD20D"/>
    <w:rsid w:val="1AFF5683"/>
    <w:rsid w:val="2C68333A"/>
    <w:rsid w:val="37FB02A2"/>
    <w:rsid w:val="5F7224D0"/>
    <w:rsid w:val="6BDF0A1C"/>
    <w:rsid w:val="79DB456E"/>
    <w:rsid w:val="7BFF6979"/>
    <w:rsid w:val="7ECDFBFC"/>
    <w:rsid w:val="7FFD1CEB"/>
    <w:rsid w:val="7FFF570F"/>
    <w:rsid w:val="7FFF5D5C"/>
    <w:rsid w:val="9D05B912"/>
    <w:rsid w:val="BEAEA45D"/>
    <w:rsid w:val="D35F0702"/>
    <w:rsid w:val="EEBB29E9"/>
    <w:rsid w:val="EEFF855F"/>
    <w:rsid w:val="EFDD5751"/>
    <w:rsid w:val="F3EF2784"/>
    <w:rsid w:val="F7BFA76A"/>
    <w:rsid w:val="FE679D32"/>
    <w:rsid w:val="FFBFE8FF"/>
    <w:rsid w:val="FFE6C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qFormat/>
    <w:uiPriority w:val="0"/>
    <w:pPr>
      <w:tabs>
        <w:tab w:val="right" w:leader="dot" w:pos="8720"/>
      </w:tabs>
      <w:jc w:val="center"/>
    </w:pPr>
    <w:rPr>
      <w:rFonts w:ascii="楷体_GB2312" w:eastAsia="楷体_GB2312"/>
      <w:b/>
      <w:sz w:val="32"/>
      <w:szCs w:val="4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Char"/>
    <w:basedOn w:val="7"/>
    <w:link w:val="3"/>
    <w:qFormat/>
    <w:uiPriority w:val="0"/>
    <w:rPr>
      <w:kern w:val="2"/>
      <w:sz w:val="18"/>
      <w:szCs w:val="18"/>
    </w:rPr>
  </w:style>
  <w:style w:type="character" w:customStyle="1" w:styleId="10">
    <w:name w:val="Hei Ti"/>
    <w:qFormat/>
    <w:uiPriority w:val="0"/>
    <w:rPr>
      <w:rFonts w:ascii="黑体" w:hAnsi="黑体" w:eastAsia="黑体" w:cs="黑体"/>
      <w:sz w:val="32"/>
    </w:rPr>
  </w:style>
  <w:style w:type="character" w:customStyle="1" w:styleId="11">
    <w:name w:val="Hei Ti Bold"/>
    <w:qFormat/>
    <w:uiPriority w:val="0"/>
    <w:rPr>
      <w:rFonts w:ascii="黑体" w:hAnsi="黑体" w:eastAsia="黑体" w:cs="黑体"/>
      <w:b/>
      <w:sz w:val="32"/>
    </w:rPr>
  </w:style>
  <w:style w:type="character" w:customStyle="1" w:styleId="12">
    <w:name w:val="Hei Ti Bold1"/>
    <w:qFormat/>
    <w:uiPriority w:val="0"/>
    <w:rPr>
      <w:rFonts w:ascii="黑体" w:hAnsi="黑体" w:eastAsia="黑体" w:cs="黑体"/>
      <w:b/>
      <w:sz w:val="36"/>
    </w:rPr>
  </w:style>
  <w:style w:type="character" w:customStyle="1" w:styleId="13">
    <w:name w:val="GB_2312"/>
    <w:qFormat/>
    <w:uiPriority w:val="0"/>
    <w:rPr>
      <w:rFonts w:ascii="仿宋_GB2312" w:hAnsi="仿宋_GB2312" w:eastAsia="仿宋_GB2312" w:cs="仿宋_GB2312"/>
      <w:sz w:val="32"/>
    </w:rPr>
  </w:style>
  <w:style w:type="character" w:customStyle="1" w:styleId="14">
    <w:name w:val="GB_23121"/>
    <w:qFormat/>
    <w:uiPriority w:val="0"/>
    <w:rPr>
      <w:rFonts w:ascii="仿宋_GB2312" w:hAnsi="仿宋_GB2312" w:eastAsia="仿宋_GB2312" w:cs="仿宋_GB2312"/>
      <w:sz w:val="36"/>
    </w:rPr>
  </w:style>
  <w:style w:type="character" w:customStyle="1" w:styleId="15">
    <w:name w:val="Red_Color"/>
    <w:qFormat/>
    <w:uiPriority w:val="0"/>
    <w:rPr>
      <w:rFonts w:ascii="方正小标宋简体" w:hAnsi="方正小标宋简体" w:eastAsia="方正小标宋简体" w:cs="方正小标宋简体"/>
      <w:color w:val="FF0000"/>
      <w:sz w:val="65"/>
    </w:rPr>
  </w:style>
  <w:style w:type="character" w:customStyle="1" w:styleId="16">
    <w:name w:val="KaiTi"/>
    <w:qFormat/>
    <w:uiPriority w:val="0"/>
    <w:rPr>
      <w:rFonts w:ascii="楷体_GB2312" w:hAnsi="楷体_GB2312" w:eastAsia="楷体_GB2312" w:cs="楷体_GB2312"/>
      <w:sz w:val="32"/>
    </w:rPr>
  </w:style>
  <w:style w:type="character" w:customStyle="1" w:styleId="17">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3</Pages>
  <Words>529</Words>
  <Characters>544</Characters>
  <Lines>6</Lines>
  <Paragraphs>1</Paragraphs>
  <TotalTime>3</TotalTime>
  <ScaleCrop>false</ScaleCrop>
  <LinksUpToDate>false</LinksUpToDate>
  <CharactersWithSpaces>562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2020-08-25T06:28:00Z</dcterms:created>
  <dc:creator>局办公室</dc:creator>
  <cp:lastModifiedBy>雨熹 Cisia</cp:lastModifiedBy>
  <dcterms:modified xsi:type="dcterms:W3CDTF">2025-09-30T02:56:17Z</dcterms:modified>
  <dc:title>天津市卫生健康委员会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AD4A0BF50BF840D5BBFC235C046E6356_13</vt:lpwstr>
  </property>
  <property fmtid="{D5CDD505-2E9C-101B-9397-08002B2CF9AE}" pid="4" name="KSOTemplateDocerSaveRecord">
    <vt:lpwstr>eyJoZGlkIjoiODkyMDgxNGQ3Mjg2MDA5YTA4YjBhMDBiZWQ4OWJhMjkiLCJ1c2VySWQiOiIyMzM0MzI4NTgifQ==</vt:lpwstr>
  </property>
</Properties>
</file>