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C6BE7">
      <w:pPr>
        <w:spacing w:line="560" w:lineRule="exact"/>
        <w:ind w:firstLine="0" w:firstLineChars="0"/>
        <w:outlineLvl w:val="0"/>
        <w:rPr>
          <w:rFonts w:hint="eastAsia" w:ascii="Times New Roman" w:hAnsi="Times New Roman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附件3</w:t>
      </w:r>
    </w:p>
    <w:p w14:paraId="62FEA978">
      <w:pPr>
        <w:spacing w:line="560" w:lineRule="exact"/>
        <w:ind w:firstLine="0" w:firstLineChars="0"/>
        <w:outlineLvl w:val="0"/>
        <w:rPr>
          <w:rFonts w:hint="default" w:ascii="Times New Roman" w:hAnsi="Times New Roman" w:eastAsia="仿宋_GB2312"/>
          <w:color w:val="auto"/>
          <w:sz w:val="32"/>
          <w:szCs w:val="21"/>
          <w:lang w:val="en-US" w:eastAsia="zh-CN"/>
        </w:rPr>
      </w:pPr>
    </w:p>
    <w:p w14:paraId="6E486E5A">
      <w:pPr>
        <w:widowControl w:val="0"/>
        <w:spacing w:line="560" w:lineRule="exact"/>
        <w:ind w:firstLine="640" w:firstLineChars="0"/>
        <w:jc w:val="center"/>
        <w:outlineLvl w:val="0"/>
        <w:rPr>
          <w:rFonts w:ascii="Times New Roman" w:hAnsi="Times New Roman" w:eastAsia="方正小标宋简体" w:cs="Times New Roman"/>
          <w:b w:val="0"/>
          <w:bCs/>
          <w:color w:val="auto"/>
          <w:kern w:val="0"/>
          <w:sz w:val="44"/>
          <w:szCs w:val="21"/>
          <w:lang w:val="en-US" w:eastAsia="zh-CN" w:bidi="ar-SA"/>
        </w:rPr>
      </w:pPr>
      <w:bookmarkStart w:id="4" w:name="_GoBack"/>
      <w:r>
        <w:rPr>
          <w:rFonts w:hint="eastAsia" w:ascii="Times New Roman" w:hAnsi="Times New Roman" w:eastAsia="方正小标宋简体" w:cs="Times New Roman"/>
          <w:b w:val="0"/>
          <w:bCs/>
          <w:color w:val="auto"/>
          <w:kern w:val="0"/>
          <w:sz w:val="44"/>
          <w:szCs w:val="21"/>
          <w:lang w:val="en-US" w:eastAsia="zh-CN" w:bidi="ar-SA"/>
        </w:rPr>
        <w:t>体重管理精英赛线上竞赛实施方案</w:t>
      </w:r>
    </w:p>
    <w:bookmarkEnd w:id="4"/>
    <w:p w14:paraId="11AFB29D">
      <w:pPr>
        <w:spacing w:line="240" w:lineRule="auto"/>
        <w:ind w:firstLine="640" w:firstLineChars="200"/>
        <w:rPr>
          <w:rFonts w:ascii="Times New Roman" w:hAnsi="Times New Roman" w:eastAsia="仿宋_GB2312"/>
          <w:color w:val="auto"/>
          <w:sz w:val="32"/>
          <w:szCs w:val="21"/>
        </w:rPr>
      </w:pPr>
    </w:p>
    <w:p w14:paraId="03CEE077"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21"/>
        </w:rPr>
        <w:t>开展体重管理精英赛。为参与人员设置健走闯关、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健走处方、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知识答题、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膳食记录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、体重监测等健康任务，对参与人员各项任务的完成情况进行赋分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。</w:t>
      </w:r>
    </w:p>
    <w:p w14:paraId="49F3EB1F">
      <w:pPr>
        <w:spacing w:line="560" w:lineRule="exact"/>
        <w:ind w:firstLine="640" w:firstLineChars="200"/>
        <w:outlineLvl w:val="0"/>
        <w:rPr>
          <w:rFonts w:ascii="Times New Roman" w:hAnsi="Times New Roman" w:eastAsia="黑体"/>
          <w:color w:val="auto"/>
          <w:sz w:val="32"/>
          <w:szCs w:val="21"/>
        </w:rPr>
      </w:pPr>
      <w:r>
        <w:rPr>
          <w:rFonts w:hint="eastAsia" w:ascii="Times New Roman" w:hAnsi="Times New Roman" w:eastAsia="黑体"/>
          <w:color w:val="auto"/>
          <w:sz w:val="32"/>
          <w:szCs w:val="21"/>
        </w:rPr>
        <w:t>一</w:t>
      </w:r>
      <w:r>
        <w:rPr>
          <w:rFonts w:ascii="Times New Roman" w:hAnsi="Times New Roman" w:eastAsia="黑体"/>
          <w:color w:val="auto"/>
          <w:sz w:val="32"/>
          <w:szCs w:val="21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21"/>
        </w:rPr>
        <w:t>竞赛时间</w:t>
      </w:r>
    </w:p>
    <w:p w14:paraId="152CD418"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21"/>
        </w:rPr>
      </w:pPr>
      <w:bookmarkStart w:id="0" w:name="OLE_LINK20"/>
      <w:r>
        <w:rPr>
          <w:rFonts w:ascii="Times New Roman" w:hAnsi="Times New Roman" w:eastAsia="仿宋_GB2312"/>
          <w:color w:val="auto"/>
          <w:sz w:val="32"/>
          <w:szCs w:val="21"/>
        </w:rPr>
        <w:t>2025年7月2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val="en-US" w:eastAsia="zh-CN"/>
        </w:rPr>
        <w:t>8</w:t>
      </w:r>
      <w:r>
        <w:rPr>
          <w:rFonts w:ascii="Times New Roman" w:hAnsi="Times New Roman" w:eastAsia="仿宋_GB2312"/>
          <w:color w:val="auto"/>
          <w:sz w:val="32"/>
          <w:szCs w:val="21"/>
        </w:rPr>
        <w:t>日-2025年10月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sz w:val="32"/>
          <w:szCs w:val="21"/>
        </w:rPr>
        <w:t>日</w:t>
      </w:r>
      <w:bookmarkEnd w:id="0"/>
      <w:r>
        <w:rPr>
          <w:rFonts w:ascii="Times New Roman" w:hAnsi="Times New Roman" w:eastAsia="仿宋_GB2312"/>
          <w:color w:val="auto"/>
          <w:sz w:val="32"/>
          <w:szCs w:val="21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12周</w:t>
      </w:r>
      <w:r>
        <w:rPr>
          <w:rFonts w:ascii="Times New Roman" w:hAnsi="Times New Roman" w:eastAsia="仿宋_GB2312"/>
          <w:color w:val="auto"/>
          <w:sz w:val="32"/>
          <w:szCs w:val="21"/>
        </w:rPr>
        <w:t>）</w:t>
      </w:r>
    </w:p>
    <w:p w14:paraId="74D6DE3F">
      <w:pPr>
        <w:numPr>
          <w:ilvl w:val="0"/>
          <w:numId w:val="1"/>
        </w:numPr>
        <w:spacing w:line="560" w:lineRule="exact"/>
        <w:ind w:firstLine="640" w:firstLineChars="200"/>
        <w:outlineLvl w:val="0"/>
        <w:rPr>
          <w:rFonts w:hint="eastAsia" w:ascii="Times New Roman" w:hAnsi="Times New Roman" w:eastAsia="黑体"/>
          <w:color w:val="auto"/>
          <w:sz w:val="32"/>
          <w:szCs w:val="21"/>
        </w:rPr>
      </w:pPr>
      <w:r>
        <w:rPr>
          <w:rFonts w:hint="eastAsia" w:ascii="Times New Roman" w:hAnsi="Times New Roman" w:eastAsia="黑体"/>
          <w:color w:val="auto"/>
          <w:sz w:val="32"/>
          <w:szCs w:val="21"/>
        </w:rPr>
        <w:t>参与对象</w:t>
      </w:r>
    </w:p>
    <w:p w14:paraId="0C5F62F6">
      <w:pPr>
        <w:spacing w:line="560" w:lineRule="exact"/>
        <w:ind w:firstLine="640" w:firstLineChars="200"/>
        <w:outlineLvl w:val="9"/>
        <w:rPr>
          <w:rFonts w:hint="eastAsia" w:ascii="Times New Roman" w:hAnsi="Times New Roman" w:eastAsia="楷体_GB2312" w:cs="楷体_GB2312"/>
          <w:color w:val="auto"/>
          <w:sz w:val="32"/>
          <w:szCs w:val="21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21"/>
          <w:lang w:eastAsia="zh-CN"/>
        </w:rPr>
        <w:t>（一）</w:t>
      </w:r>
      <w:r>
        <w:rPr>
          <w:rFonts w:hint="eastAsia" w:ascii="Times New Roman" w:hAnsi="Times New Roman" w:eastAsia="楷体_GB2312" w:cs="楷体_GB2312"/>
          <w:color w:val="auto"/>
          <w:sz w:val="32"/>
          <w:szCs w:val="21"/>
        </w:rPr>
        <w:t>纳入标准（符合下述其中一条即可）</w:t>
      </w:r>
    </w:p>
    <w:p w14:paraId="6BF8FE9E"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21"/>
        </w:rPr>
      </w:pPr>
      <w:r>
        <w:rPr>
          <w:rFonts w:hint="eastAsia" w:ascii="Times New Roman" w:hAnsi="Times New Roman" w:eastAsia="仿宋_GB2312"/>
          <w:color w:val="auto"/>
          <w:sz w:val="32"/>
          <w:szCs w:val="21"/>
        </w:rPr>
        <w:t>1.超重：24 kg/m</w:t>
      </w:r>
      <w:r>
        <w:rPr>
          <w:rFonts w:hint="eastAsia" w:ascii="Times New Roman" w:hAnsi="Times New Roman" w:eastAsia="仿宋_GB2312"/>
          <w:color w:val="auto"/>
          <w:sz w:val="32"/>
          <w:szCs w:val="21"/>
          <w:vertAlign w:val="superscript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≤BMI＜28kg/m</w:t>
      </w:r>
      <w:r>
        <w:rPr>
          <w:rFonts w:hint="eastAsia" w:ascii="Times New Roman" w:hAnsi="Times New Roman" w:eastAsia="仿宋_GB2312"/>
          <w:color w:val="auto"/>
          <w:sz w:val="32"/>
          <w:szCs w:val="21"/>
          <w:vertAlign w:val="superscript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；</w:t>
      </w:r>
    </w:p>
    <w:p w14:paraId="6CE3B5B7"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21"/>
        </w:rPr>
      </w:pPr>
      <w:r>
        <w:rPr>
          <w:rFonts w:hint="eastAsia" w:ascii="Times New Roman" w:hAnsi="Times New Roman" w:eastAsia="仿宋_GB2312"/>
          <w:color w:val="auto"/>
          <w:sz w:val="32"/>
          <w:szCs w:val="21"/>
        </w:rPr>
        <w:t>2.肥胖：BMI≥28kg/m</w:t>
      </w:r>
      <w:r>
        <w:rPr>
          <w:rFonts w:hint="eastAsia" w:ascii="Times New Roman" w:hAnsi="Times New Roman" w:eastAsia="仿宋_GB2312"/>
          <w:color w:val="auto"/>
          <w:sz w:val="32"/>
          <w:szCs w:val="21"/>
          <w:vertAlign w:val="superscript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；</w:t>
      </w:r>
    </w:p>
    <w:p w14:paraId="2E15FB0F"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21"/>
        </w:rPr>
      </w:pPr>
      <w:r>
        <w:rPr>
          <w:rFonts w:hint="eastAsia" w:ascii="Times New Roman" w:hAnsi="Times New Roman" w:eastAsia="仿宋_GB2312"/>
          <w:color w:val="auto"/>
          <w:sz w:val="32"/>
          <w:szCs w:val="21"/>
        </w:rPr>
        <w:t>3.中心性肥胖：男性腰围≥90cm、女性腰围≥85cm；</w:t>
      </w:r>
    </w:p>
    <w:p w14:paraId="657F6A43">
      <w:pPr>
        <w:spacing w:line="560" w:lineRule="exact"/>
        <w:ind w:firstLine="640" w:firstLineChars="200"/>
        <w:outlineLvl w:val="9"/>
        <w:rPr>
          <w:rFonts w:hint="eastAsia" w:ascii="Times New Roman" w:hAnsi="Times New Roman" w:eastAsia="楷体_GB2312" w:cs="楷体_GB2312"/>
          <w:color w:val="auto"/>
          <w:sz w:val="32"/>
          <w:szCs w:val="21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21"/>
          <w:lang w:eastAsia="zh-CN"/>
        </w:rPr>
        <w:t>（二）</w:t>
      </w:r>
      <w:r>
        <w:rPr>
          <w:rFonts w:hint="eastAsia" w:ascii="Times New Roman" w:hAnsi="Times New Roman" w:eastAsia="楷体_GB2312" w:cs="楷体_GB2312"/>
          <w:color w:val="auto"/>
          <w:sz w:val="32"/>
          <w:szCs w:val="21"/>
        </w:rPr>
        <w:t>排除标准（符合任意一条即不建议参与）</w:t>
      </w:r>
    </w:p>
    <w:p w14:paraId="20E9A247">
      <w:pPr>
        <w:spacing w:line="560" w:lineRule="exact"/>
        <w:ind w:left="640" w:firstLine="0" w:firstLineChars="0"/>
        <w:rPr>
          <w:rFonts w:ascii="Times New Roman" w:hAnsi="Times New Roman" w:eastAsia="仿宋_GB2312"/>
          <w:color w:val="auto"/>
          <w:sz w:val="32"/>
          <w:szCs w:val="21"/>
        </w:rPr>
      </w:pPr>
      <w:r>
        <w:rPr>
          <w:rFonts w:hint="eastAsia" w:ascii="Times New Roman" w:hAnsi="Times New Roman" w:eastAsia="仿宋_GB2312"/>
          <w:color w:val="auto"/>
          <w:sz w:val="32"/>
          <w:szCs w:val="21"/>
        </w:rPr>
        <w:t>1.收缩压&gt;180或（和）</w:t>
      </w:r>
      <w:r>
        <w:rPr>
          <w:rFonts w:hint="eastAsia" w:ascii="Times New Roman" w:hAnsi="Times New Roman" w:eastAsia="仿宋_GB2312"/>
          <w:color w:val="auto"/>
          <w:spacing w:val="-1"/>
          <w:sz w:val="32"/>
          <w:szCs w:val="21"/>
        </w:rPr>
        <w:t>舒张压&gt;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110；</w:t>
      </w:r>
    </w:p>
    <w:p w14:paraId="71DC106E">
      <w:pPr>
        <w:spacing w:line="560" w:lineRule="exact"/>
        <w:ind w:left="640" w:firstLine="0" w:firstLineChars="0"/>
        <w:rPr>
          <w:rFonts w:hint="eastAsia" w:ascii="Times New Roman" w:hAnsi="Times New Roman" w:eastAsia="仿宋_GB2312"/>
          <w:color w:val="auto"/>
          <w:sz w:val="32"/>
          <w:szCs w:val="21"/>
        </w:rPr>
      </w:pPr>
      <w:r>
        <w:rPr>
          <w:rFonts w:hint="eastAsia" w:ascii="Times New Roman" w:hAnsi="Times New Roman" w:eastAsia="仿宋_GB2312"/>
          <w:color w:val="auto"/>
          <w:sz w:val="32"/>
          <w:szCs w:val="21"/>
        </w:rPr>
        <w:t>2.妊娠期女性；</w:t>
      </w:r>
    </w:p>
    <w:p w14:paraId="3951F3E5">
      <w:pPr>
        <w:numPr>
          <w:ilvl w:val="0"/>
          <w:numId w:val="0"/>
        </w:numPr>
        <w:spacing w:line="560" w:lineRule="exact"/>
        <w:rPr>
          <w:rFonts w:hint="eastAsia" w:ascii="Times New Roman" w:hAnsi="Times New Roman" w:eastAsia="仿宋_GB2312"/>
          <w:color w:val="auto"/>
          <w:sz w:val="32"/>
          <w:szCs w:val="21"/>
        </w:rPr>
      </w:pPr>
      <w:r>
        <w:rPr>
          <w:rFonts w:hint="eastAsia" w:eastAsia="仿宋_GB2312"/>
          <w:color w:val="auto"/>
          <w:sz w:val="32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val="en-US" w:eastAsia="zh-CN"/>
        </w:rPr>
        <w:t>3.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近半年内有运动损伤者；</w:t>
      </w:r>
    </w:p>
    <w:p w14:paraId="6BC507CC">
      <w:pPr>
        <w:spacing w:line="560" w:lineRule="exact"/>
        <w:ind w:left="640" w:firstLine="0" w:firstLineChars="0"/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21"/>
        </w:rPr>
        <w:t>4.其他医学上</w:t>
      </w:r>
      <w:r>
        <w:rPr>
          <w:rFonts w:ascii="Times New Roman" w:hAnsi="Times New Roman" w:eastAsia="仿宋_GB2312"/>
          <w:color w:val="auto"/>
          <w:sz w:val="32"/>
          <w:szCs w:val="21"/>
        </w:rPr>
        <w:t>认为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不适合</w:t>
      </w:r>
      <w:r>
        <w:rPr>
          <w:rFonts w:ascii="Times New Roman" w:hAnsi="Times New Roman" w:eastAsia="仿宋_GB2312"/>
          <w:color w:val="auto"/>
          <w:sz w:val="32"/>
          <w:szCs w:val="21"/>
        </w:rPr>
        <w:t>进行饮食控制和运动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锻炼者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；</w:t>
      </w:r>
    </w:p>
    <w:p w14:paraId="39062E83"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21"/>
        </w:rPr>
        <w:t>5.</w:t>
      </w:r>
      <w:r>
        <w:rPr>
          <w:rFonts w:hint="eastAsia" w:ascii="Times New Roman" w:hAnsi="Times New Roman" w:eastAsia="仿宋_GB2312"/>
          <w:color w:val="auto"/>
          <w:sz w:val="32"/>
          <w:szCs w:val="21"/>
          <w:highlight w:val="none"/>
          <w:lang w:val="en-US" w:eastAsia="zh-CN"/>
        </w:rPr>
        <w:t>目前正在使用已知的减重药物；</w:t>
      </w:r>
    </w:p>
    <w:p w14:paraId="1D47CD8E">
      <w:pPr>
        <w:spacing w:line="560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21"/>
          <w:highlight w:val="none"/>
          <w:lang w:val="en-US" w:eastAsia="zh-CN"/>
        </w:rPr>
        <w:t>6.现场体测认为不适合参加本次比赛的人员。</w:t>
      </w:r>
    </w:p>
    <w:p w14:paraId="4CCF512E">
      <w:pPr>
        <w:spacing w:line="560" w:lineRule="exact"/>
        <w:ind w:firstLine="640" w:firstLineChars="200"/>
        <w:outlineLvl w:val="0"/>
        <w:rPr>
          <w:rFonts w:ascii="Times New Roman" w:hAnsi="Times New Roman" w:eastAsia="黑体"/>
          <w:color w:val="auto"/>
          <w:sz w:val="32"/>
          <w:szCs w:val="21"/>
        </w:rPr>
      </w:pPr>
      <w:r>
        <w:rPr>
          <w:rFonts w:hint="eastAsia" w:ascii="Times New Roman" w:hAnsi="Times New Roman" w:eastAsia="黑体"/>
          <w:color w:val="auto"/>
          <w:sz w:val="32"/>
          <w:szCs w:val="21"/>
        </w:rPr>
        <w:t>三</w:t>
      </w:r>
      <w:r>
        <w:rPr>
          <w:rFonts w:ascii="Times New Roman" w:hAnsi="Times New Roman" w:eastAsia="黑体"/>
          <w:color w:val="auto"/>
          <w:sz w:val="32"/>
          <w:szCs w:val="21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21"/>
        </w:rPr>
        <w:t>竞赛形式</w:t>
      </w:r>
    </w:p>
    <w:p w14:paraId="7AA2D5AB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21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通过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线上健走竞赛平台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开展竞赛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，线上健走路线总里程为10000公里。参赛人员按照竞赛规则完成指定的任务获取相应的积分，将积分换算为线上行进里程，推动解锁沿途的关卡。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参赛人员经体测合格后每人领取一台体脂称，用于完成日常健康指标监测。</w:t>
      </w:r>
    </w:p>
    <w:p w14:paraId="09586685">
      <w:pPr>
        <w:spacing w:line="560" w:lineRule="exact"/>
        <w:ind w:firstLine="640" w:firstLineChars="200"/>
        <w:outlineLvl w:val="0"/>
        <w:rPr>
          <w:rFonts w:ascii="Times New Roman" w:hAnsi="Times New Roman" w:eastAsia="黑体"/>
          <w:color w:val="auto"/>
          <w:sz w:val="32"/>
          <w:szCs w:val="21"/>
        </w:rPr>
      </w:pPr>
      <w:r>
        <w:rPr>
          <w:rFonts w:hint="eastAsia" w:ascii="Times New Roman" w:hAnsi="Times New Roman" w:eastAsia="黑体"/>
          <w:color w:val="auto"/>
          <w:sz w:val="32"/>
          <w:szCs w:val="21"/>
        </w:rPr>
        <w:t>四</w:t>
      </w:r>
      <w:r>
        <w:rPr>
          <w:rFonts w:ascii="Times New Roman" w:hAnsi="Times New Roman" w:eastAsia="黑体"/>
          <w:color w:val="auto"/>
          <w:sz w:val="32"/>
          <w:szCs w:val="21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21"/>
        </w:rPr>
        <w:t>竞赛内容</w:t>
      </w:r>
    </w:p>
    <w:p w14:paraId="59447F0B">
      <w:pPr>
        <w:spacing w:line="560" w:lineRule="exact"/>
        <w:ind w:firstLine="640" w:firstLineChars="200"/>
        <w:outlineLvl w:val="2"/>
        <w:rPr>
          <w:rStyle w:val="4"/>
          <w:rFonts w:hint="eastAsia" w:ascii="Times New Roman" w:hAnsi="Times New Roman" w:eastAsia="楷体_GB2312" w:cs="楷体_GB2312"/>
          <w:color w:val="auto"/>
          <w:sz w:val="32"/>
          <w:szCs w:val="21"/>
          <w:shd w:val="clear" w:color="auto" w:fill="FFFFFF"/>
        </w:rPr>
      </w:pPr>
      <w:r>
        <w:rPr>
          <w:rStyle w:val="4"/>
          <w:rFonts w:hint="eastAsia" w:ascii="Times New Roman" w:hAnsi="Times New Roman" w:eastAsia="楷体_GB2312" w:cs="楷体_GB2312"/>
          <w:color w:val="auto"/>
          <w:sz w:val="32"/>
          <w:szCs w:val="21"/>
          <w:shd w:val="clear" w:color="auto" w:fill="FFFFFF"/>
          <w:lang w:eastAsia="zh-CN"/>
        </w:rPr>
        <w:t>（一）</w:t>
      </w:r>
      <w:r>
        <w:rPr>
          <w:rStyle w:val="4"/>
          <w:rFonts w:hint="eastAsia" w:ascii="Times New Roman" w:hAnsi="Times New Roman" w:eastAsia="楷体_GB2312" w:cs="楷体_GB2312"/>
          <w:color w:val="auto"/>
          <w:sz w:val="32"/>
          <w:szCs w:val="21"/>
          <w:shd w:val="clear" w:color="auto" w:fill="FFFFFF"/>
        </w:rPr>
        <w:t>健走任务</w:t>
      </w:r>
    </w:p>
    <w:p w14:paraId="7CF0E442"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21"/>
        </w:rPr>
      </w:pPr>
      <w:r>
        <w:rPr>
          <w:rFonts w:hint="eastAsia" w:ascii="Times New Roman" w:hAnsi="Times New Roman" w:eastAsia="仿宋_GB2312"/>
          <w:color w:val="auto"/>
          <w:sz w:val="32"/>
          <w:szCs w:val="21"/>
        </w:rPr>
        <w:t>健走处方任务：按规定健走步速、健走时长、健走频率完成健走处方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，获取相应积分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；</w:t>
      </w:r>
    </w:p>
    <w:p w14:paraId="7E60889D"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21"/>
        </w:rPr>
      </w:pP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日行健走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任务：以每天完成6000步为基础要求，建议每天完成8000步。参赛人员使用APP记录每天的健走数据，并将数据上传至平台，获取相应积分。</w:t>
      </w:r>
    </w:p>
    <w:p w14:paraId="4FC4ABE9">
      <w:pPr>
        <w:spacing w:line="560" w:lineRule="exact"/>
        <w:ind w:firstLine="640" w:firstLineChars="200"/>
        <w:outlineLvl w:val="2"/>
        <w:rPr>
          <w:rStyle w:val="4"/>
          <w:rFonts w:hint="eastAsia" w:ascii="Times New Roman" w:hAnsi="Times New Roman" w:eastAsia="楷体_GB2312" w:cs="楷体_GB2312"/>
          <w:color w:val="auto"/>
          <w:sz w:val="32"/>
          <w:szCs w:val="21"/>
          <w:shd w:val="clear" w:color="auto" w:fill="FFFFFF"/>
          <w:lang w:eastAsia="zh-CN"/>
        </w:rPr>
      </w:pPr>
      <w:r>
        <w:rPr>
          <w:rStyle w:val="4"/>
          <w:rFonts w:hint="eastAsia" w:ascii="Times New Roman" w:hAnsi="Times New Roman" w:eastAsia="楷体_GB2312" w:cs="楷体_GB2312"/>
          <w:color w:val="auto"/>
          <w:sz w:val="32"/>
          <w:szCs w:val="21"/>
          <w:shd w:val="clear" w:color="auto" w:fill="FFFFFF"/>
          <w:lang w:eastAsia="zh-CN"/>
        </w:rPr>
        <w:t>（二）</w:t>
      </w:r>
      <w:r>
        <w:rPr>
          <w:rStyle w:val="4"/>
          <w:rFonts w:hint="eastAsia" w:ascii="Times New Roman" w:hAnsi="Times New Roman" w:eastAsia="楷体_GB2312" w:cs="楷体_GB2312"/>
          <w:color w:val="auto"/>
          <w:sz w:val="32"/>
          <w:szCs w:val="21"/>
          <w:shd w:val="clear" w:color="auto" w:fill="FFFFFF"/>
        </w:rPr>
        <w:t>健康知识学习与答题</w:t>
      </w:r>
      <w:r>
        <w:rPr>
          <w:rStyle w:val="4"/>
          <w:rFonts w:hint="eastAsia" w:ascii="Times New Roman" w:hAnsi="Times New Roman" w:eastAsia="楷体_GB2312" w:cs="楷体_GB2312"/>
          <w:color w:val="auto"/>
          <w:sz w:val="32"/>
          <w:szCs w:val="21"/>
          <w:shd w:val="clear" w:color="auto" w:fill="FFFFFF"/>
          <w:lang w:eastAsia="zh-CN"/>
        </w:rPr>
        <w:t>任务</w:t>
      </w:r>
    </w:p>
    <w:p w14:paraId="1F96B95A"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21"/>
        </w:rPr>
      </w:pPr>
      <w:r>
        <w:rPr>
          <w:rFonts w:hint="eastAsia" w:ascii="Times New Roman" w:hAnsi="Times New Roman" w:eastAsia="仿宋_GB2312"/>
          <w:color w:val="auto"/>
          <w:sz w:val="32"/>
          <w:szCs w:val="21"/>
        </w:rPr>
        <w:t>参赛人员通过讲座、文章等方式学习健康知识后，在竞赛任务中完成答题。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定期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开展</w:t>
      </w:r>
      <w:r>
        <w:rPr>
          <w:rFonts w:ascii="Times New Roman" w:hAnsi="Times New Roman" w:eastAsia="仿宋_GB2312"/>
          <w:color w:val="auto"/>
          <w:sz w:val="32"/>
          <w:szCs w:val="21"/>
        </w:rPr>
        <w:t>知识学习与答题活动，每次包含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2"/>
          <w:szCs w:val="21"/>
        </w:rPr>
        <w:t>个题目，每次答题均有三次机会，答题正确率达到100%，可获得5分。三次正确率均未达到100%，则不予加分。活动期间共计7次答题，满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分</w:t>
      </w:r>
      <w:r>
        <w:rPr>
          <w:rFonts w:ascii="Times New Roman" w:hAnsi="Times New Roman" w:eastAsia="仿宋_GB2312"/>
          <w:color w:val="auto"/>
          <w:sz w:val="32"/>
          <w:szCs w:val="21"/>
        </w:rPr>
        <w:t>35分。</w:t>
      </w:r>
    </w:p>
    <w:p w14:paraId="14950443">
      <w:pPr>
        <w:spacing w:line="560" w:lineRule="exact"/>
        <w:ind w:firstLine="640" w:firstLineChars="200"/>
        <w:outlineLvl w:val="2"/>
        <w:rPr>
          <w:rStyle w:val="4"/>
          <w:rFonts w:hint="eastAsia" w:ascii="Times New Roman" w:hAnsi="Times New Roman" w:eastAsia="楷体_GB2312" w:cs="楷体_GB2312"/>
          <w:color w:val="auto"/>
          <w:sz w:val="32"/>
          <w:szCs w:val="21"/>
          <w:shd w:val="clear" w:color="auto" w:fill="FFFFFF"/>
        </w:rPr>
      </w:pPr>
      <w:r>
        <w:rPr>
          <w:rStyle w:val="4"/>
          <w:rFonts w:hint="eastAsia" w:ascii="Times New Roman" w:hAnsi="Times New Roman" w:eastAsia="楷体_GB2312" w:cs="楷体_GB2312"/>
          <w:color w:val="auto"/>
          <w:sz w:val="32"/>
          <w:szCs w:val="21"/>
          <w:shd w:val="clear" w:color="auto" w:fill="FFFFFF"/>
          <w:lang w:eastAsia="zh-CN"/>
        </w:rPr>
        <w:t>（三）</w:t>
      </w:r>
      <w:r>
        <w:rPr>
          <w:rStyle w:val="4"/>
          <w:rFonts w:hint="eastAsia" w:ascii="Times New Roman" w:hAnsi="Times New Roman" w:eastAsia="楷体_GB2312" w:cs="楷体_GB2312"/>
          <w:color w:val="auto"/>
          <w:sz w:val="32"/>
          <w:szCs w:val="21"/>
          <w:shd w:val="clear" w:color="auto" w:fill="FFFFFF"/>
        </w:rPr>
        <w:t>膳食监测任务</w:t>
      </w:r>
    </w:p>
    <w:p w14:paraId="470ED175"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21"/>
        </w:rPr>
        <w:t>参与人员使用</w:t>
      </w:r>
      <w:r>
        <w:rPr>
          <w:rFonts w:ascii="Times New Roman" w:hAnsi="Times New Roman" w:eastAsia="仿宋_GB2312"/>
          <w:color w:val="auto"/>
          <w:sz w:val="32"/>
          <w:szCs w:val="21"/>
        </w:rPr>
        <w:t>APP记录每餐膳食，每周任选2天记录三餐膳食情况。每天完整记录三餐可以获得3积分，不完整记录不得分。全程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共24天，</w:t>
      </w:r>
      <w:r>
        <w:rPr>
          <w:rFonts w:ascii="Times New Roman" w:hAnsi="Times New Roman" w:eastAsia="仿宋_GB2312"/>
          <w:color w:val="auto"/>
          <w:sz w:val="32"/>
          <w:szCs w:val="21"/>
        </w:rPr>
        <w:t>可得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72</w:t>
      </w:r>
      <w:r>
        <w:rPr>
          <w:rFonts w:ascii="Times New Roman" w:hAnsi="Times New Roman" w:eastAsia="仿宋_GB2312"/>
          <w:color w:val="auto"/>
          <w:sz w:val="32"/>
          <w:szCs w:val="21"/>
        </w:rPr>
        <w:t>分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。</w:t>
      </w:r>
    </w:p>
    <w:p w14:paraId="4F018A9A">
      <w:pPr>
        <w:spacing w:line="560" w:lineRule="exact"/>
        <w:ind w:firstLine="640" w:firstLineChars="200"/>
        <w:outlineLvl w:val="2"/>
        <w:rPr>
          <w:rStyle w:val="4"/>
          <w:rFonts w:hint="eastAsia" w:ascii="Times New Roman" w:hAnsi="Times New Roman" w:eastAsia="楷体_GB2312" w:cs="楷体_GB2312"/>
          <w:color w:val="auto"/>
          <w:sz w:val="32"/>
          <w:szCs w:val="21"/>
          <w:shd w:val="clear" w:color="auto" w:fill="FFFFFF"/>
        </w:rPr>
      </w:pPr>
      <w:r>
        <w:rPr>
          <w:rStyle w:val="4"/>
          <w:rFonts w:hint="eastAsia" w:ascii="Times New Roman" w:hAnsi="Times New Roman" w:eastAsia="楷体_GB2312" w:cs="楷体_GB2312"/>
          <w:color w:val="auto"/>
          <w:sz w:val="32"/>
          <w:szCs w:val="21"/>
          <w:shd w:val="clear" w:color="auto" w:fill="FFFFFF"/>
          <w:lang w:eastAsia="zh-CN"/>
        </w:rPr>
        <w:t>（四）</w:t>
      </w:r>
      <w:r>
        <w:rPr>
          <w:rStyle w:val="4"/>
          <w:rFonts w:hint="eastAsia" w:ascii="Times New Roman" w:hAnsi="Times New Roman" w:eastAsia="楷体_GB2312" w:cs="楷体_GB2312"/>
          <w:color w:val="auto"/>
          <w:sz w:val="32"/>
          <w:szCs w:val="21"/>
          <w:shd w:val="clear" w:color="auto" w:fill="FFFFFF"/>
        </w:rPr>
        <w:t>体重监测任务</w:t>
      </w:r>
    </w:p>
    <w:p w14:paraId="41E73A90"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21"/>
        </w:rPr>
      </w:pPr>
      <w:r>
        <w:rPr>
          <w:rFonts w:hint="eastAsia" w:ascii="Times New Roman" w:hAnsi="Times New Roman" w:eastAsia="仿宋_GB2312"/>
          <w:color w:val="auto"/>
          <w:sz w:val="32"/>
          <w:szCs w:val="21"/>
        </w:rPr>
        <w:t>参与人员每周测量一次体成分（包括体脂、体重、BMI等数据）并上传到APP，每周可获得5分，共12周，全程可得60分。</w:t>
      </w:r>
    </w:p>
    <w:p w14:paraId="08CBBBCF">
      <w:pPr>
        <w:spacing w:line="560" w:lineRule="exact"/>
        <w:ind w:firstLine="640" w:firstLineChars="200"/>
        <w:outlineLvl w:val="2"/>
        <w:rPr>
          <w:rStyle w:val="4"/>
          <w:rFonts w:hint="eastAsia" w:ascii="Times New Roman" w:hAnsi="Times New Roman" w:eastAsia="楷体_GB2312" w:cs="楷体_GB2312"/>
          <w:color w:val="auto"/>
          <w:sz w:val="32"/>
          <w:szCs w:val="21"/>
          <w:shd w:val="clear" w:color="auto" w:fill="FFFFFF"/>
        </w:rPr>
      </w:pPr>
      <w:r>
        <w:rPr>
          <w:rStyle w:val="4"/>
          <w:rFonts w:hint="eastAsia" w:ascii="Times New Roman" w:hAnsi="Times New Roman" w:eastAsia="楷体_GB2312" w:cs="楷体_GB2312"/>
          <w:color w:val="auto"/>
          <w:sz w:val="32"/>
          <w:szCs w:val="21"/>
          <w:shd w:val="clear" w:color="auto" w:fill="FFFFFF"/>
          <w:lang w:eastAsia="zh-CN"/>
        </w:rPr>
        <w:t>（五）</w:t>
      </w:r>
      <w:r>
        <w:rPr>
          <w:rStyle w:val="4"/>
          <w:rFonts w:hint="eastAsia" w:ascii="Times New Roman" w:hAnsi="Times New Roman" w:eastAsia="楷体_GB2312" w:cs="楷体_GB2312"/>
          <w:color w:val="auto"/>
          <w:sz w:val="32"/>
          <w:szCs w:val="21"/>
          <w:shd w:val="clear" w:color="auto" w:fill="FFFFFF"/>
        </w:rPr>
        <w:t>抗阻力与柔韧性训练</w:t>
      </w:r>
    </w:p>
    <w:p w14:paraId="5D0096E2"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21"/>
        </w:rPr>
      </w:pPr>
      <w:r>
        <w:rPr>
          <w:rFonts w:hint="eastAsia" w:ascii="Times New Roman" w:hAnsi="Times New Roman" w:eastAsia="仿宋_GB2312"/>
          <w:color w:val="auto"/>
          <w:sz w:val="32"/>
          <w:szCs w:val="21"/>
        </w:rPr>
        <w:t>参与人员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自行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使用APP训练评估板块，根据真人视频动作示范指导，完成训练抗阻力与柔韧性训练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不计入积分统计。</w:t>
      </w:r>
    </w:p>
    <w:p w14:paraId="60EF80E3">
      <w:pPr>
        <w:spacing w:line="560" w:lineRule="exact"/>
        <w:ind w:firstLine="640" w:firstLineChars="200"/>
        <w:outlineLvl w:val="0"/>
        <w:rPr>
          <w:rFonts w:ascii="Times New Roman" w:hAnsi="Times New Roman" w:eastAsia="黑体"/>
          <w:color w:val="auto"/>
          <w:sz w:val="32"/>
          <w:szCs w:val="21"/>
        </w:rPr>
      </w:pPr>
      <w:r>
        <w:rPr>
          <w:rFonts w:hint="eastAsia" w:ascii="Times New Roman" w:hAnsi="Times New Roman" w:eastAsia="黑体"/>
          <w:color w:val="auto"/>
          <w:sz w:val="32"/>
          <w:szCs w:val="21"/>
        </w:rPr>
        <w:t>五</w:t>
      </w:r>
      <w:r>
        <w:rPr>
          <w:rFonts w:ascii="Times New Roman" w:hAnsi="Times New Roman" w:eastAsia="黑体"/>
          <w:color w:val="auto"/>
          <w:sz w:val="32"/>
          <w:szCs w:val="21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21"/>
        </w:rPr>
        <w:t>成绩统计规则</w:t>
      </w:r>
    </w:p>
    <w:p w14:paraId="5AE6F4CB">
      <w:pPr>
        <w:spacing w:line="560" w:lineRule="exact"/>
        <w:ind w:firstLine="640" w:firstLineChars="200"/>
        <w:outlineLvl w:val="1"/>
        <w:rPr>
          <w:rFonts w:hint="eastAsia" w:ascii="Times New Roman" w:hAnsi="Times New Roman" w:eastAsia="楷体_GB2312" w:cs="楷体_GB2312"/>
          <w:color w:val="auto"/>
          <w:sz w:val="32"/>
          <w:szCs w:val="21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21"/>
        </w:rPr>
        <w:t>（一）积分规则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909"/>
        <w:gridCol w:w="1083"/>
        <w:gridCol w:w="2856"/>
      </w:tblGrid>
      <w:tr w14:paraId="12B68FE6">
        <w:trPr>
          <w:jc w:val="center"/>
        </w:trPr>
        <w:tc>
          <w:tcPr>
            <w:tcW w:w="1786" w:type="dxa"/>
            <w:noWrap w:val="0"/>
            <w:vAlign w:val="center"/>
          </w:tcPr>
          <w:p w14:paraId="77608F7C">
            <w:pPr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bookmarkStart w:id="1" w:name="OLE_LINK6"/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任务</w:t>
            </w:r>
          </w:p>
        </w:tc>
        <w:tc>
          <w:tcPr>
            <w:tcW w:w="3084" w:type="dxa"/>
            <w:noWrap w:val="0"/>
            <w:vAlign w:val="center"/>
          </w:tcPr>
          <w:p w14:paraId="209CA718">
            <w:pPr>
              <w:spacing w:line="560" w:lineRule="exact"/>
              <w:ind w:firstLine="173" w:firstLineChars="62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完成标准</w:t>
            </w:r>
          </w:p>
        </w:tc>
        <w:tc>
          <w:tcPr>
            <w:tcW w:w="1138" w:type="dxa"/>
            <w:noWrap w:val="0"/>
            <w:vAlign w:val="center"/>
          </w:tcPr>
          <w:p w14:paraId="763A016B">
            <w:pPr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积分</w:t>
            </w:r>
          </w:p>
        </w:tc>
        <w:tc>
          <w:tcPr>
            <w:tcW w:w="3052" w:type="dxa"/>
            <w:noWrap w:val="0"/>
            <w:vAlign w:val="center"/>
          </w:tcPr>
          <w:p w14:paraId="393D0248">
            <w:pPr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备注</w:t>
            </w:r>
          </w:p>
        </w:tc>
      </w:tr>
      <w:tr w14:paraId="593D61A2">
        <w:trPr>
          <w:jc w:val="center"/>
        </w:trPr>
        <w:tc>
          <w:tcPr>
            <w:tcW w:w="1786" w:type="dxa"/>
            <w:vMerge w:val="restart"/>
            <w:noWrap w:val="0"/>
            <w:vAlign w:val="center"/>
          </w:tcPr>
          <w:p w14:paraId="63F9ECF9">
            <w:pPr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日行万步</w:t>
            </w:r>
          </w:p>
        </w:tc>
        <w:tc>
          <w:tcPr>
            <w:tcW w:w="3084" w:type="dxa"/>
            <w:noWrap w:val="0"/>
            <w:vAlign w:val="center"/>
          </w:tcPr>
          <w:p w14:paraId="072F5DF5">
            <w:pPr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6000～6999步</w:t>
            </w:r>
          </w:p>
        </w:tc>
        <w:tc>
          <w:tcPr>
            <w:tcW w:w="1138" w:type="dxa"/>
            <w:noWrap w:val="0"/>
            <w:vAlign w:val="center"/>
          </w:tcPr>
          <w:p w14:paraId="4255E82A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052" w:type="dxa"/>
            <w:vMerge w:val="restart"/>
            <w:noWrap w:val="0"/>
            <w:vAlign w:val="center"/>
          </w:tcPr>
          <w:p w14:paraId="28DD14C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bookmarkStart w:id="2" w:name="OLE_LINK12"/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执行时间段</w:t>
            </w:r>
          </w:p>
          <w:p w14:paraId="23CFCB9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0～24点</w:t>
            </w:r>
            <w:bookmarkEnd w:id="2"/>
          </w:p>
        </w:tc>
      </w:tr>
      <w:tr w14:paraId="696431BB">
        <w:trPr>
          <w:jc w:val="center"/>
        </w:trPr>
        <w:tc>
          <w:tcPr>
            <w:tcW w:w="1786" w:type="dxa"/>
            <w:vMerge w:val="continue"/>
            <w:noWrap w:val="0"/>
            <w:vAlign w:val="center"/>
          </w:tcPr>
          <w:p w14:paraId="00D669BF"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3084" w:type="dxa"/>
            <w:noWrap w:val="0"/>
            <w:vAlign w:val="center"/>
          </w:tcPr>
          <w:p w14:paraId="4A1141B0">
            <w:pPr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7000～7999步</w:t>
            </w:r>
          </w:p>
        </w:tc>
        <w:tc>
          <w:tcPr>
            <w:tcW w:w="1138" w:type="dxa"/>
            <w:noWrap w:val="0"/>
            <w:vAlign w:val="center"/>
          </w:tcPr>
          <w:p w14:paraId="6DE3D05F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052" w:type="dxa"/>
            <w:vMerge w:val="continue"/>
            <w:noWrap w:val="0"/>
            <w:vAlign w:val="center"/>
          </w:tcPr>
          <w:p w14:paraId="21630529"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</w:tr>
      <w:tr w14:paraId="085812B8">
        <w:trPr>
          <w:jc w:val="center"/>
        </w:trPr>
        <w:tc>
          <w:tcPr>
            <w:tcW w:w="1786" w:type="dxa"/>
            <w:vMerge w:val="continue"/>
            <w:noWrap w:val="0"/>
            <w:vAlign w:val="center"/>
          </w:tcPr>
          <w:p w14:paraId="22571C42"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3084" w:type="dxa"/>
            <w:noWrap w:val="0"/>
            <w:vAlign w:val="center"/>
          </w:tcPr>
          <w:p w14:paraId="6EA85987">
            <w:pPr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8000步及以上</w:t>
            </w:r>
          </w:p>
        </w:tc>
        <w:tc>
          <w:tcPr>
            <w:tcW w:w="1138" w:type="dxa"/>
            <w:noWrap w:val="0"/>
            <w:vAlign w:val="center"/>
          </w:tcPr>
          <w:p w14:paraId="6857A011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052" w:type="dxa"/>
            <w:vMerge w:val="continue"/>
            <w:noWrap w:val="0"/>
            <w:vAlign w:val="center"/>
          </w:tcPr>
          <w:p w14:paraId="698C5078"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</w:tr>
      <w:tr w14:paraId="4BA40DAA">
        <w:trPr>
          <w:jc w:val="center"/>
        </w:trPr>
        <w:tc>
          <w:tcPr>
            <w:tcW w:w="1786" w:type="dxa"/>
            <w:vMerge w:val="restart"/>
            <w:noWrap w:val="0"/>
            <w:vAlign w:val="center"/>
          </w:tcPr>
          <w:p w14:paraId="4E84B050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健走处方</w:t>
            </w:r>
          </w:p>
        </w:tc>
        <w:tc>
          <w:tcPr>
            <w:tcW w:w="3084" w:type="dxa"/>
            <w:noWrap w:val="0"/>
            <w:vAlign w:val="center"/>
          </w:tcPr>
          <w:p w14:paraId="59FE30FA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完成第1个处方</w:t>
            </w:r>
          </w:p>
        </w:tc>
        <w:tc>
          <w:tcPr>
            <w:tcW w:w="1138" w:type="dxa"/>
            <w:noWrap w:val="0"/>
            <w:vAlign w:val="center"/>
          </w:tcPr>
          <w:p w14:paraId="4175EF1F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3052" w:type="dxa"/>
            <w:vMerge w:val="restart"/>
            <w:noWrap w:val="0"/>
            <w:vAlign w:val="center"/>
          </w:tcPr>
          <w:p w14:paraId="01B988E1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四个处方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分别为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10分钟，10分钟，15分钟，15分钟</w:t>
            </w:r>
          </w:p>
          <w:p w14:paraId="05B3874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执行时间段</w:t>
            </w:r>
          </w:p>
          <w:p w14:paraId="28A2988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5～23点</w:t>
            </w:r>
          </w:p>
        </w:tc>
      </w:tr>
      <w:tr w14:paraId="5A93D213">
        <w:trPr>
          <w:jc w:val="center"/>
        </w:trPr>
        <w:tc>
          <w:tcPr>
            <w:tcW w:w="1786" w:type="dxa"/>
            <w:vMerge w:val="continue"/>
            <w:noWrap w:val="0"/>
            <w:vAlign w:val="center"/>
          </w:tcPr>
          <w:p w14:paraId="47ED5F30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3084" w:type="dxa"/>
            <w:noWrap w:val="0"/>
            <w:vAlign w:val="center"/>
          </w:tcPr>
          <w:p w14:paraId="5B127DC9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完成前2个处方</w:t>
            </w:r>
          </w:p>
        </w:tc>
        <w:tc>
          <w:tcPr>
            <w:tcW w:w="1138" w:type="dxa"/>
            <w:noWrap w:val="0"/>
            <w:vAlign w:val="center"/>
          </w:tcPr>
          <w:p w14:paraId="6B45D7A8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3052" w:type="dxa"/>
            <w:vMerge w:val="continue"/>
            <w:noWrap w:val="0"/>
            <w:vAlign w:val="center"/>
          </w:tcPr>
          <w:p w14:paraId="6B2D9BF7"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</w:tr>
      <w:tr w14:paraId="303AE445">
        <w:trPr>
          <w:jc w:val="center"/>
        </w:trPr>
        <w:tc>
          <w:tcPr>
            <w:tcW w:w="1786" w:type="dxa"/>
            <w:vMerge w:val="continue"/>
            <w:noWrap w:val="0"/>
            <w:vAlign w:val="center"/>
          </w:tcPr>
          <w:p w14:paraId="43E7D5A4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3084" w:type="dxa"/>
            <w:noWrap w:val="0"/>
            <w:vAlign w:val="center"/>
          </w:tcPr>
          <w:p w14:paraId="0670E2F1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完成前3个处方</w:t>
            </w:r>
          </w:p>
        </w:tc>
        <w:tc>
          <w:tcPr>
            <w:tcW w:w="1138" w:type="dxa"/>
            <w:noWrap w:val="0"/>
            <w:vAlign w:val="center"/>
          </w:tcPr>
          <w:p w14:paraId="128C30A3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3052" w:type="dxa"/>
            <w:vMerge w:val="continue"/>
            <w:noWrap w:val="0"/>
            <w:vAlign w:val="center"/>
          </w:tcPr>
          <w:p w14:paraId="5A32DCC5"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</w:tr>
      <w:tr w14:paraId="717CDC07">
        <w:trPr>
          <w:jc w:val="center"/>
        </w:trPr>
        <w:tc>
          <w:tcPr>
            <w:tcW w:w="1786" w:type="dxa"/>
            <w:vMerge w:val="continue"/>
            <w:noWrap w:val="0"/>
            <w:vAlign w:val="center"/>
          </w:tcPr>
          <w:p w14:paraId="0929908C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3084" w:type="dxa"/>
            <w:noWrap w:val="0"/>
            <w:vAlign w:val="center"/>
          </w:tcPr>
          <w:p w14:paraId="6A521390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完成全部4个处方</w:t>
            </w:r>
          </w:p>
        </w:tc>
        <w:tc>
          <w:tcPr>
            <w:tcW w:w="1138" w:type="dxa"/>
            <w:noWrap w:val="0"/>
            <w:vAlign w:val="center"/>
          </w:tcPr>
          <w:p w14:paraId="723A6FFC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8</w:t>
            </w:r>
          </w:p>
        </w:tc>
        <w:tc>
          <w:tcPr>
            <w:tcW w:w="3052" w:type="dxa"/>
            <w:vMerge w:val="continue"/>
            <w:noWrap w:val="0"/>
            <w:vAlign w:val="center"/>
          </w:tcPr>
          <w:p w14:paraId="73712E33"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</w:tr>
      <w:tr w14:paraId="467A5DEF">
        <w:trPr>
          <w:jc w:val="center"/>
        </w:trPr>
        <w:tc>
          <w:tcPr>
            <w:tcW w:w="1786" w:type="dxa"/>
            <w:noWrap w:val="0"/>
            <w:vAlign w:val="center"/>
          </w:tcPr>
          <w:p w14:paraId="21C3C9F3">
            <w:pPr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知识答题</w:t>
            </w:r>
          </w:p>
        </w:tc>
        <w:tc>
          <w:tcPr>
            <w:tcW w:w="3084" w:type="dxa"/>
            <w:noWrap w:val="0"/>
            <w:vAlign w:val="center"/>
          </w:tcPr>
          <w:p w14:paraId="5DE71CA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完成1次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满分的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知识答题任务；每个任务5题，3次答题机会</w:t>
            </w:r>
          </w:p>
        </w:tc>
        <w:tc>
          <w:tcPr>
            <w:tcW w:w="1138" w:type="dxa"/>
            <w:noWrap w:val="0"/>
            <w:vAlign w:val="center"/>
          </w:tcPr>
          <w:p w14:paraId="04672777">
            <w:pPr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3052" w:type="dxa"/>
            <w:noWrap w:val="0"/>
            <w:vAlign w:val="center"/>
          </w:tcPr>
          <w:p w14:paraId="591FC6B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共7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次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答题任务，满分35分</w:t>
            </w:r>
          </w:p>
        </w:tc>
      </w:tr>
      <w:tr w14:paraId="276F3419">
        <w:trPr>
          <w:jc w:val="center"/>
        </w:trPr>
        <w:tc>
          <w:tcPr>
            <w:tcW w:w="1786" w:type="dxa"/>
            <w:noWrap w:val="0"/>
            <w:vAlign w:val="center"/>
          </w:tcPr>
          <w:p w14:paraId="5CE5436B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膳食监测</w:t>
            </w:r>
          </w:p>
        </w:tc>
        <w:tc>
          <w:tcPr>
            <w:tcW w:w="3084" w:type="dxa"/>
            <w:noWrap w:val="0"/>
            <w:vAlign w:val="center"/>
          </w:tcPr>
          <w:p w14:paraId="10084366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完成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1天完整膳食记录；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每周任选2天记录三餐</w:t>
            </w:r>
          </w:p>
        </w:tc>
        <w:tc>
          <w:tcPr>
            <w:tcW w:w="1138" w:type="dxa"/>
            <w:noWrap w:val="0"/>
            <w:vAlign w:val="center"/>
          </w:tcPr>
          <w:p w14:paraId="664790D9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52" w:type="dxa"/>
            <w:noWrap w:val="0"/>
            <w:vAlign w:val="center"/>
          </w:tcPr>
          <w:p w14:paraId="004BF3CA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全程共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天，满分72分</w:t>
            </w:r>
          </w:p>
        </w:tc>
      </w:tr>
      <w:tr w14:paraId="172DD716">
        <w:trPr>
          <w:jc w:val="center"/>
        </w:trPr>
        <w:tc>
          <w:tcPr>
            <w:tcW w:w="1786" w:type="dxa"/>
            <w:noWrap w:val="0"/>
            <w:vAlign w:val="center"/>
          </w:tcPr>
          <w:p w14:paraId="75205F4E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体重监测</w:t>
            </w:r>
          </w:p>
        </w:tc>
        <w:tc>
          <w:tcPr>
            <w:tcW w:w="3084" w:type="dxa"/>
            <w:noWrap w:val="0"/>
            <w:vAlign w:val="center"/>
          </w:tcPr>
          <w:p w14:paraId="4EA5E2AB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每周测量一次体脂、体重数据并上传</w:t>
            </w:r>
          </w:p>
        </w:tc>
        <w:tc>
          <w:tcPr>
            <w:tcW w:w="1138" w:type="dxa"/>
            <w:noWrap w:val="0"/>
            <w:vAlign w:val="center"/>
          </w:tcPr>
          <w:p w14:paraId="4B15A878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3052" w:type="dxa"/>
            <w:noWrap w:val="0"/>
            <w:vAlign w:val="center"/>
          </w:tcPr>
          <w:p w14:paraId="7510F4E0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共12次体重监测任务，满分60分</w:t>
            </w:r>
          </w:p>
        </w:tc>
      </w:tr>
      <w:bookmarkEnd w:id="1"/>
    </w:tbl>
    <w:p w14:paraId="29E55D75">
      <w:pPr>
        <w:spacing w:line="560" w:lineRule="exact"/>
        <w:ind w:firstLine="640" w:firstLineChars="200"/>
        <w:outlineLvl w:val="1"/>
        <w:rPr>
          <w:rFonts w:hint="eastAsia" w:ascii="Times New Roman" w:hAnsi="Times New Roman" w:eastAsia="楷体_GB2312" w:cs="楷体_GB2312"/>
          <w:color w:val="auto"/>
          <w:sz w:val="32"/>
          <w:szCs w:val="21"/>
        </w:rPr>
      </w:pPr>
      <w:bookmarkStart w:id="3" w:name="OLE_LINK18"/>
      <w:r>
        <w:rPr>
          <w:rFonts w:hint="eastAsia" w:ascii="Times New Roman" w:hAnsi="Times New Roman" w:eastAsia="楷体_GB2312" w:cs="楷体_GB2312"/>
          <w:color w:val="auto"/>
          <w:sz w:val="32"/>
          <w:szCs w:val="21"/>
        </w:rPr>
        <w:t>（二）统计规则</w:t>
      </w:r>
    </w:p>
    <w:p w14:paraId="7E338BF6">
      <w:pPr>
        <w:spacing w:line="560" w:lineRule="exact"/>
        <w:ind w:firstLine="640" w:firstLineChars="200"/>
        <w:outlineLvl w:val="2"/>
        <w:rPr>
          <w:rFonts w:ascii="Times New Roman" w:hAnsi="Times New Roman" w:eastAsia="仿宋_GB2312"/>
          <w:color w:val="auto"/>
          <w:sz w:val="32"/>
          <w:szCs w:val="21"/>
        </w:rPr>
      </w:pPr>
      <w:r>
        <w:rPr>
          <w:rFonts w:hint="eastAsia" w:ascii="Times New Roman" w:hAnsi="Times New Roman" w:eastAsia="仿宋_GB2312"/>
          <w:color w:val="auto"/>
          <w:sz w:val="32"/>
          <w:szCs w:val="21"/>
        </w:rPr>
        <w:t>1.里程计算规则</w:t>
      </w:r>
    </w:p>
    <w:p w14:paraId="6AB041E0"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21"/>
        </w:rPr>
      </w:pPr>
      <w:r>
        <w:rPr>
          <w:rFonts w:hint="eastAsia" w:ascii="Times New Roman" w:hAnsi="Times New Roman" w:eastAsia="仿宋_GB2312"/>
          <w:color w:val="auto"/>
          <w:sz w:val="32"/>
          <w:szCs w:val="21"/>
        </w:rPr>
        <w:t>个人每日行进里程=</w:t>
      </w:r>
      <w:r>
        <w:rPr>
          <w:rFonts w:ascii="Times New Roman" w:hAnsi="Times New Roman" w:eastAsia="仿宋_GB2312"/>
          <w:color w:val="auto"/>
          <w:sz w:val="32"/>
          <w:szCs w:val="21"/>
        </w:rPr>
        <w:t>个人每日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积分×6公里（积分系数）</w:t>
      </w:r>
    </w:p>
    <w:p w14:paraId="4391E679">
      <w:pPr>
        <w:spacing w:line="560" w:lineRule="exact"/>
        <w:ind w:firstLine="640" w:firstLineChars="200"/>
        <w:outlineLvl w:val="2"/>
        <w:rPr>
          <w:rFonts w:ascii="Times New Roman" w:hAnsi="Times New Roman" w:eastAsia="仿宋_GB2312"/>
          <w:color w:val="auto"/>
          <w:sz w:val="32"/>
          <w:szCs w:val="21"/>
        </w:rPr>
      </w:pPr>
      <w:r>
        <w:rPr>
          <w:rFonts w:hint="eastAsia" w:ascii="Times New Roman" w:hAnsi="Times New Roman" w:eastAsia="仿宋_GB2312"/>
          <w:color w:val="auto"/>
          <w:sz w:val="32"/>
          <w:szCs w:val="21"/>
        </w:rPr>
        <w:t>2</w:t>
      </w:r>
      <w:r>
        <w:rPr>
          <w:rFonts w:ascii="Times New Roman" w:hAnsi="Times New Roman" w:eastAsia="仿宋_GB2312"/>
          <w:color w:val="auto"/>
          <w:sz w:val="32"/>
          <w:szCs w:val="21"/>
        </w:rPr>
        <w:t>.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排名</w:t>
      </w:r>
      <w:r>
        <w:rPr>
          <w:rFonts w:ascii="Times New Roman" w:hAnsi="Times New Roman" w:eastAsia="仿宋_GB2312"/>
          <w:color w:val="auto"/>
          <w:sz w:val="32"/>
          <w:szCs w:val="21"/>
        </w:rPr>
        <w:t>及统计规则</w:t>
      </w:r>
    </w:p>
    <w:p w14:paraId="51460EFB"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竞赛成绩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综合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里程获得情况和体重变化情况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（各占比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50%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）进行排名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里程获得情况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首先按行进里程排名，里程相同的情况下，按上传时间排名。</w:t>
      </w:r>
    </w:p>
    <w:p w14:paraId="0911BEB3"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21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竞赛统计</w:t>
      </w:r>
      <w:r>
        <w:rPr>
          <w:rFonts w:ascii="Times New Roman" w:hAnsi="Times New Roman" w:eastAsia="仿宋_GB2312"/>
          <w:color w:val="auto"/>
          <w:sz w:val="32"/>
          <w:szCs w:val="32"/>
        </w:rPr>
        <w:t>2025年7月2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color w:val="auto"/>
          <w:sz w:val="32"/>
          <w:szCs w:val="32"/>
        </w:rPr>
        <w:t>日-2025年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10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期间</w:t>
      </w:r>
      <w:r>
        <w:rPr>
          <w:rFonts w:ascii="Times New Roman" w:hAnsi="Times New Roman" w:eastAsia="仿宋_GB2312"/>
          <w:color w:val="auto"/>
          <w:sz w:val="32"/>
          <w:szCs w:val="32"/>
        </w:rPr>
        <w:t>共计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12周</w:t>
      </w:r>
      <w:r>
        <w:rPr>
          <w:rFonts w:ascii="Times New Roman" w:hAnsi="Times New Roman" w:eastAsia="仿宋_GB2312"/>
          <w:color w:val="auto"/>
          <w:sz w:val="32"/>
          <w:szCs w:val="32"/>
        </w:rPr>
        <w:t>的数据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  <w:r>
        <w:rPr>
          <w:rFonts w:ascii="Times New Roman" w:hAnsi="Times New Roman" w:eastAsia="仿宋_GB2312"/>
          <w:color w:val="auto"/>
          <w:sz w:val="32"/>
          <w:szCs w:val="32"/>
        </w:rPr>
        <w:t>2025年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10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仿宋_GB2312"/>
          <w:color w:val="auto"/>
          <w:sz w:val="32"/>
          <w:szCs w:val="32"/>
        </w:rPr>
        <w:t>日24时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前打开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APP，系统自动上传数据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，此时间后上传的数据不计入统计。</w:t>
      </w:r>
    </w:p>
    <w:bookmarkEnd w:id="3"/>
    <w:p w14:paraId="5B055736">
      <w:r>
        <w:rPr>
          <w:rFonts w:ascii="Times New Roman" w:hAnsi="Times New Roman" w:eastAsia="仿宋_GB2312"/>
          <w:color w:val="auto"/>
          <w:sz w:val="32"/>
          <w:szCs w:val="21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4B9AA5"/>
    <w:multiLevelType w:val="singleLevel"/>
    <w:tmpl w:val="4C4B9AA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7F3939"/>
    <w:rsid w:val="FC7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ext-tag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2025-07-12T12:32:00Z</dcterms:created>
  <dc:creator>雨熹 Cisia</dc:creator>
  <cp:lastModifiedBy>雨熹 Cisia</cp:lastModifiedBy>
  <dcterms:modified xsi:type="dcterms:W3CDTF">2025-07-12T12:32:38Z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3C7852C453DB4DC24CE57168794C2B83_41</vt:lpwstr>
  </property>
</Properties>
</file>