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CA" w:rsidRDefault="00A72ACA" w:rsidP="00A72ACA">
      <w:pPr>
        <w:spacing w:line="560" w:lineRule="exact"/>
        <w:rPr>
          <w:rFonts w:eastAsia="黑体" w:hint="eastAsia"/>
          <w:sz w:val="32"/>
          <w:szCs w:val="32"/>
        </w:rPr>
      </w:pPr>
      <w:r w:rsidRPr="00FC7E01">
        <w:rPr>
          <w:rFonts w:eastAsia="黑体" w:hAnsi="黑体"/>
          <w:sz w:val="32"/>
          <w:szCs w:val="32"/>
        </w:rPr>
        <w:t>附件</w:t>
      </w:r>
      <w:r w:rsidRPr="00FC7E01">
        <w:rPr>
          <w:rFonts w:eastAsia="黑体"/>
          <w:sz w:val="32"/>
          <w:szCs w:val="32"/>
        </w:rPr>
        <w:t>2</w:t>
      </w:r>
    </w:p>
    <w:p w:rsidR="00A72ACA" w:rsidRDefault="00A72ACA" w:rsidP="00A72ACA">
      <w:pPr>
        <w:spacing w:line="640" w:lineRule="exact"/>
        <w:rPr>
          <w:rFonts w:eastAsia="黑体" w:hint="eastAsia"/>
          <w:sz w:val="32"/>
          <w:szCs w:val="32"/>
        </w:rPr>
      </w:pPr>
    </w:p>
    <w:p w:rsidR="00A72ACA" w:rsidRPr="00FC7E01" w:rsidRDefault="00A72ACA" w:rsidP="00A72ACA">
      <w:pPr>
        <w:spacing w:line="640" w:lineRule="exact"/>
        <w:rPr>
          <w:rFonts w:eastAsia="黑体" w:hint="eastAsia"/>
          <w:sz w:val="32"/>
          <w:szCs w:val="32"/>
        </w:rPr>
      </w:pPr>
    </w:p>
    <w:p w:rsidR="00A72ACA" w:rsidRPr="00FC7E01" w:rsidRDefault="00A72ACA" w:rsidP="00A72ACA">
      <w:pPr>
        <w:spacing w:line="640" w:lineRule="exact"/>
        <w:jc w:val="center"/>
        <w:rPr>
          <w:rFonts w:eastAsia="方正小标宋简体"/>
          <w:sz w:val="44"/>
          <w:szCs w:val="44"/>
        </w:rPr>
      </w:pPr>
      <w:r w:rsidRPr="00FC7E01">
        <w:rPr>
          <w:rFonts w:eastAsia="方正小标宋简体"/>
          <w:sz w:val="44"/>
          <w:szCs w:val="44"/>
        </w:rPr>
        <w:t>医师变更执业范围前培训考核基地名录</w:t>
      </w:r>
    </w:p>
    <w:p w:rsidR="00A72ACA" w:rsidRPr="00FC7E01" w:rsidRDefault="00A72ACA" w:rsidP="00A72ACA">
      <w:pPr>
        <w:spacing w:line="640" w:lineRule="exact"/>
        <w:rPr>
          <w:rFonts w:eastAsia="仿宋_GB2312"/>
          <w:sz w:val="32"/>
          <w:szCs w:val="32"/>
        </w:rPr>
      </w:pPr>
    </w:p>
    <w:p w:rsidR="00A72ACA" w:rsidRPr="00FC7E01" w:rsidRDefault="00A72ACA" w:rsidP="00A72ACA">
      <w:pPr>
        <w:spacing w:line="560" w:lineRule="exact"/>
        <w:ind w:firstLineChars="200" w:firstLine="640"/>
        <w:rPr>
          <w:rFonts w:eastAsia="黑体"/>
          <w:sz w:val="32"/>
          <w:szCs w:val="32"/>
        </w:rPr>
      </w:pPr>
      <w:r w:rsidRPr="00FC7E01">
        <w:rPr>
          <w:rFonts w:eastAsia="黑体" w:hAnsi="黑体"/>
          <w:sz w:val="32"/>
          <w:szCs w:val="32"/>
        </w:rPr>
        <w:t>一、临床类别</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一）拟变更为内科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二）拟变更为外科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三）拟变更为妇产科专业：天津医科大学总医院、天津医科大学第二医院、天津市第一中心医院、天津市人民医院、天津市第三中心医院、天津市第四中心医院、天津市第五中心医院、天津市天津医院、天津市海河医院、天津市泰</w:t>
      </w:r>
      <w:r w:rsidRPr="00FC7E01">
        <w:rPr>
          <w:rFonts w:eastAsia="仿宋_GB2312"/>
          <w:sz w:val="32"/>
          <w:szCs w:val="32"/>
        </w:rPr>
        <w:lastRenderedPageBreak/>
        <w:t>达医院、天津市北辰医院、天津市宝坻区人民医院、天津市武清区人民医院、天津市静海县医院、天津市宁河县医院、天津市蓟县人民医院、天津医科大学总医院空港医院、天津市中心妇产科医院。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四）拟变更为儿科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市儿童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五）拟变更为眼耳鼻咽喉科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六）拟变更为皮肤与性病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市中医药研究院附属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（七）拟变更为精神卫生专业：按照国家和我市有关规定执行。</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（八）拟变更为职业病专业：天津市职业病防治院。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九）拟变更为医学影像和放射治疗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中医药大学第一附属医院、天津中医药大学第二附属医院、天津市中西医结合医院、天津市中医药研究院附属医院、天津市北辰区中医医院、天津市武清区中医医院、天津市肿瘤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拟变更为医学检验、病理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中医药大学第一附属医院、天津中医药大学第二附属医院、天津市中西医结合医院、天津市中医药研究院附属医院、天津市北辰区中医医院、天津市武清区中医医院、天津市肿瘤医院、天津市胸科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（十一）拟变更为全科医学专业：按照国家和我市有关规定执行。</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二）拟变更为急救医学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中医药大学第一附属医院、天津中医药大学第二附属医院、天津市中西医结合医院、天津市中医药研究院附属医院、天津市北辰区中医医院、天津市武清区中医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三）拟变更为康复医学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中医药大学第一附属医院、天津中医药大学第二附属医院、天津市中西医结合医院、天津市中医药研究院附属医院、天津市北辰区中医医院、天津市武清区中医医院、天津市环湖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四）拟变更为预防保健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中医药大学第一附属医院、天津中医药大学第二附属医院、天津市中西医结合医院、天津市中医药研究院附属医院、天津市北辰区中医医院、天津市武清区中医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（十五）拟变更为计划生育服务专业：仅限由妇产科专业变更为计划生育服务专业，不需要培训考核。</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（十六）拟变更为重症医学专业（仅限已执业注册为其他执业</w:t>
      </w:r>
      <w:smartTag w:uri="urn:schemas-microsoft-com:office:smarttags" w:element="PersonName">
        <w:smartTagPr>
          <w:attr w:name="ProductID" w:val="范围的"/>
        </w:smartTagPr>
        <w:r w:rsidRPr="00FC7E01">
          <w:rPr>
            <w:rFonts w:eastAsia="仿宋_GB2312"/>
            <w:sz w:val="32"/>
            <w:szCs w:val="32"/>
          </w:rPr>
          <w:t>范围的</w:t>
        </w:r>
      </w:smartTag>
      <w:r w:rsidRPr="00FC7E01">
        <w:rPr>
          <w:rFonts w:eastAsia="仿宋_GB2312"/>
          <w:sz w:val="32"/>
          <w:szCs w:val="32"/>
        </w:rPr>
        <w:t>医师，在</w:t>
      </w:r>
      <w:r w:rsidRPr="00FC7E01">
        <w:rPr>
          <w:rFonts w:eastAsia="仿宋_GB2312"/>
          <w:sz w:val="32"/>
          <w:szCs w:val="32"/>
        </w:rPr>
        <w:t>2014</w:t>
      </w:r>
      <w:r w:rsidRPr="00FC7E01">
        <w:rPr>
          <w:rFonts w:eastAsia="仿宋_GB2312"/>
          <w:sz w:val="32"/>
          <w:szCs w:val="32"/>
        </w:rPr>
        <w:t>年</w:t>
      </w:r>
      <w:r w:rsidRPr="00FC7E01">
        <w:rPr>
          <w:rFonts w:eastAsia="仿宋_GB2312"/>
          <w:sz w:val="32"/>
          <w:szCs w:val="32"/>
        </w:rPr>
        <w:t>5</w:t>
      </w:r>
      <w:r w:rsidRPr="00FC7E01">
        <w:rPr>
          <w:rFonts w:eastAsia="仿宋_GB2312"/>
          <w:sz w:val="32"/>
          <w:szCs w:val="32"/>
        </w:rPr>
        <w:t>月</w:t>
      </w:r>
      <w:r w:rsidRPr="00FC7E01">
        <w:rPr>
          <w:rFonts w:eastAsia="仿宋_GB2312"/>
          <w:sz w:val="32"/>
          <w:szCs w:val="32"/>
        </w:rPr>
        <w:t>7</w:t>
      </w:r>
      <w:r w:rsidRPr="00FC7E01">
        <w:rPr>
          <w:rFonts w:eastAsia="仿宋_GB2312"/>
          <w:sz w:val="32"/>
          <w:szCs w:val="32"/>
        </w:rPr>
        <w:t>日后调动至重症医学科工作需变更执业范围）：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中医药大学第一附属医院、天津中医药大学第二附属医院、天津市中西医结合医院、天津市中医药研究院附属医院、天津市北辰区中医医院、天津市武清区中医医院。</w:t>
      </w:r>
    </w:p>
    <w:p w:rsidR="00A72ACA" w:rsidRPr="00FC7E01" w:rsidRDefault="00A72ACA" w:rsidP="00A72ACA">
      <w:pPr>
        <w:spacing w:line="560" w:lineRule="exact"/>
        <w:ind w:firstLineChars="200" w:firstLine="640"/>
        <w:rPr>
          <w:rFonts w:eastAsia="黑体"/>
          <w:sz w:val="32"/>
          <w:szCs w:val="32"/>
        </w:rPr>
      </w:pPr>
      <w:r w:rsidRPr="00FC7E01">
        <w:rPr>
          <w:rFonts w:eastAsia="黑体" w:hAnsi="黑体"/>
          <w:sz w:val="32"/>
          <w:szCs w:val="32"/>
        </w:rPr>
        <w:t>二、口腔类别</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一）口腔专业：天津医科大学总医院、天津医科大学第二医院、天津市第一中心医院、天津市人民医院、天津市第三中心医院、天津市第四中心医院、天津市第五中心医院、天津市天津医院、天津市海河医院、天津市泰达医院、天津市北辰医院、天津市宝坻区人民医院、天津市武清区人民医院、天津市静海县医院、天津市宁河县医院、天津市蓟县人民医院、天津医科大学总医院空港医院、天津市口腔医院、天津医科大学口腔医院、天津中医药大学第一附属医院、天津中医药大学第二附属医院、天津市中西医结合医院、天津市中医药研究院附属医院、天津市北辰区中医医院、天津市武清区中医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（二）口腔麻醉专业：天津市口腔医院、天津医科大学口腔医院。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（三）口腔病理专业：天津市口腔医院、天津医科大学口腔医院。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（四）口腔影像专业：天津市口腔医院、天津医科大学口腔医院。</w:t>
      </w:r>
    </w:p>
    <w:p w:rsidR="00A72ACA" w:rsidRPr="00FC7E01" w:rsidRDefault="00A72ACA" w:rsidP="00A72ACA">
      <w:pPr>
        <w:spacing w:line="560" w:lineRule="exact"/>
        <w:ind w:firstLineChars="200" w:firstLine="640"/>
        <w:rPr>
          <w:rFonts w:eastAsia="黑体"/>
          <w:sz w:val="32"/>
          <w:szCs w:val="32"/>
        </w:rPr>
      </w:pPr>
      <w:r w:rsidRPr="00FC7E01">
        <w:rPr>
          <w:rFonts w:eastAsia="黑体" w:hAnsi="黑体"/>
          <w:sz w:val="32"/>
          <w:szCs w:val="32"/>
        </w:rPr>
        <w:t>三、公共卫生类别</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由于该类别下仅有一个执业范围，因此不需要指定培训考核机构。</w:t>
      </w:r>
    </w:p>
    <w:p w:rsidR="00A72ACA" w:rsidRPr="00FC7E01" w:rsidRDefault="00A72ACA" w:rsidP="00A72ACA">
      <w:pPr>
        <w:spacing w:line="560" w:lineRule="exact"/>
        <w:ind w:firstLineChars="200" w:firstLine="640"/>
        <w:rPr>
          <w:rFonts w:eastAsia="黑体"/>
          <w:sz w:val="32"/>
          <w:szCs w:val="32"/>
        </w:rPr>
      </w:pPr>
      <w:r w:rsidRPr="00FC7E01">
        <w:rPr>
          <w:rFonts w:eastAsia="黑体" w:hAnsi="黑体"/>
          <w:sz w:val="32"/>
          <w:szCs w:val="32"/>
        </w:rPr>
        <w:t>四、中医类别</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（一）拟由中医全科专业变更为中医专业：天津中医药大学第一附属医院、天津中医药大学第二附属医院、天津市中医药研究院附属医院、天津市北辰区中医医院、天津市武清区中医医院。</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（二）拟由中医专业变更为中医全科专业：按照国家和我市有关规定执行。</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（三）除上述两种情形外，变更执业范围的应当按照变更执业类别进行管理。</w:t>
      </w:r>
    </w:p>
    <w:p w:rsidR="00A72ACA" w:rsidRPr="00FC7E01" w:rsidRDefault="00A72ACA" w:rsidP="00A72ACA">
      <w:pPr>
        <w:spacing w:line="560" w:lineRule="exact"/>
        <w:ind w:firstLineChars="200" w:firstLine="640"/>
        <w:rPr>
          <w:rFonts w:eastAsia="黑体"/>
          <w:sz w:val="32"/>
          <w:szCs w:val="32"/>
        </w:rPr>
      </w:pPr>
      <w:r w:rsidRPr="00FC7E01">
        <w:rPr>
          <w:rFonts w:eastAsia="黑体" w:hAnsi="黑体"/>
          <w:sz w:val="32"/>
          <w:szCs w:val="32"/>
        </w:rPr>
        <w:t>五、特殊说明</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（一）符合《</w:t>
      </w:r>
      <w:smartTag w:uri="urn:schemas-microsoft-com:office:smarttags" w:element="PersonName">
        <w:smartTagPr>
          <w:attr w:name="ProductID" w:val="关于"/>
        </w:smartTagPr>
        <w:r w:rsidRPr="00FC7E01">
          <w:rPr>
            <w:rFonts w:eastAsia="仿宋_GB2312"/>
            <w:sz w:val="32"/>
            <w:szCs w:val="32"/>
          </w:rPr>
          <w:t>关于</w:t>
        </w:r>
      </w:smartTag>
      <w:r w:rsidRPr="00FC7E01">
        <w:rPr>
          <w:rFonts w:eastAsia="仿宋_GB2312"/>
          <w:sz w:val="32"/>
          <w:szCs w:val="32"/>
        </w:rPr>
        <w:t>医师执业注册中执业范围的暂行规定》第六条第（二）款规定的，在培训考核基地接受同一类别其他专业的系统培训两年或者专业进修满两年或系统培训和专业进修合计满两年。</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（二）执业地点为天津铁厂职工医院的临床、口腔、中医类</w:t>
      </w:r>
      <w:smartTag w:uri="urn:schemas-microsoft-com:office:smarttags" w:element="PersonName">
        <w:smartTagPr>
          <w:attr w:name="ProductID" w:val="别"/>
        </w:smartTagPr>
        <w:r w:rsidRPr="00FC7E01">
          <w:rPr>
            <w:rFonts w:eastAsia="仿宋_GB2312"/>
            <w:sz w:val="32"/>
            <w:szCs w:val="32"/>
          </w:rPr>
          <w:t>别</w:t>
        </w:r>
      </w:smartTag>
      <w:r w:rsidRPr="00FC7E01">
        <w:rPr>
          <w:rFonts w:eastAsia="仿宋_GB2312"/>
          <w:sz w:val="32"/>
          <w:szCs w:val="32"/>
        </w:rPr>
        <w:t>医师，可以在天津铁厂职工医院进行相应培训。</w:t>
      </w:r>
    </w:p>
    <w:p w:rsidR="00A72ACA" w:rsidRPr="00FC7E01" w:rsidRDefault="00A72ACA" w:rsidP="00A72ACA">
      <w:pPr>
        <w:spacing w:line="560" w:lineRule="exact"/>
        <w:ind w:firstLineChars="200" w:firstLine="640"/>
        <w:rPr>
          <w:rFonts w:eastAsia="仿宋_GB2312"/>
          <w:sz w:val="32"/>
          <w:szCs w:val="32"/>
        </w:rPr>
      </w:pPr>
      <w:r w:rsidRPr="00FC7E01">
        <w:rPr>
          <w:rFonts w:eastAsia="仿宋_GB2312"/>
          <w:sz w:val="32"/>
          <w:szCs w:val="32"/>
        </w:rPr>
        <w:t>（三）拟变更为未指定培训考核基地的执业范围的，请及时与我委联系。</w:t>
      </w:r>
    </w:p>
    <w:p w:rsidR="00207D9C" w:rsidRPr="00A72ACA" w:rsidRDefault="00207D9C">
      <w:bookmarkStart w:id="0" w:name="_GoBack"/>
      <w:bookmarkEnd w:id="0"/>
    </w:p>
    <w:sectPr w:rsidR="00207D9C" w:rsidRPr="00A72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53" w:rsidRDefault="00823953" w:rsidP="00A72ACA">
      <w:r>
        <w:separator/>
      </w:r>
    </w:p>
  </w:endnote>
  <w:endnote w:type="continuationSeparator" w:id="0">
    <w:p w:rsidR="00823953" w:rsidRDefault="00823953" w:rsidP="00A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53" w:rsidRDefault="00823953" w:rsidP="00A72ACA">
      <w:r>
        <w:separator/>
      </w:r>
    </w:p>
  </w:footnote>
  <w:footnote w:type="continuationSeparator" w:id="0">
    <w:p w:rsidR="00823953" w:rsidRDefault="00823953" w:rsidP="00A72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6D"/>
    <w:rsid w:val="001D686D"/>
    <w:rsid w:val="00207D9C"/>
    <w:rsid w:val="00823953"/>
    <w:rsid w:val="00A7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2637774-FFF9-45C1-B0A8-9F05BE16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2ACA"/>
    <w:rPr>
      <w:sz w:val="18"/>
      <w:szCs w:val="18"/>
    </w:rPr>
  </w:style>
  <w:style w:type="paragraph" w:styleId="a4">
    <w:name w:val="footer"/>
    <w:basedOn w:val="a"/>
    <w:link w:val="Char0"/>
    <w:uiPriority w:val="99"/>
    <w:unhideWhenUsed/>
    <w:rsid w:val="00A72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2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2015-09-25T07:32:00Z</dcterms:created>
  <dcterms:modified xsi:type="dcterms:W3CDTF">2015-09-25T07:32:00Z</dcterms:modified>
</cp:coreProperties>
</file>