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autoSpaceDE w:val="0"/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2023年天津市托幼机构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校外培训机构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学校</w:t>
      </w:r>
    </w:p>
    <w:p>
      <w:pPr>
        <w:autoSpaceDE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采光照明“双随机”抽检工作方案</w:t>
      </w:r>
    </w:p>
    <w:bookmarkEnd w:id="0"/>
    <w:p>
      <w:pPr>
        <w:autoSpaceDE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为贯彻落实教育部、国家卫生健康委等8部门印发的《综合防控儿童青少年近视实施方案》，根据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国家疾控局综合司、教育部办公厅</w:t>
      </w:r>
      <w:r>
        <w:rPr>
          <w:rFonts w:hint="eastAsia" w:ascii="Times New Roman" w:eastAsia="仿宋_GB2312"/>
          <w:sz w:val="32"/>
          <w:szCs w:val="32"/>
        </w:rPr>
        <w:t>《关于开展2023年托幼机构、校外培训机构、学校采光照明“双随机”抽检工作的通知》（国疾控综监督二函〔2023〕180号）要求，市卫生健康委、市教委联合组织对全市</w:t>
      </w:r>
      <w:r>
        <w:rPr>
          <w:rFonts w:hint="eastAsia" w:ascii="Times New Roman" w:eastAsia="仿宋_GB2312" w:cs="仿宋_GB2312"/>
          <w:kern w:val="0"/>
          <w:sz w:val="32"/>
          <w:szCs w:val="32"/>
        </w:rPr>
        <w:t>托幼机构、校外培训机构和学校的采光照明进行“双随机”抽检，</w:t>
      </w:r>
      <w:r>
        <w:rPr>
          <w:rFonts w:hint="eastAsia" w:ascii="Times New Roman" w:eastAsia="仿宋_GB2312"/>
          <w:sz w:val="32"/>
          <w:szCs w:val="32"/>
        </w:rPr>
        <w:t>结合实际工作，制定本方案。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一、抽检内容和范围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（一）托幼机构和校外培训机构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抽检内容。按照《托儿所、幼儿园建筑设计规范》（JGJ39-2016）第5.1.1、6.3.4条规定，对托幼机构儿童活动室的直接天然采光、采光系数、窗地面积比、照度平均值等项目符合标准情况进行抽检。参照《中小学校教室采光和照明卫生标准》（GB7793-2010）和《中小学校设计规范》（GB50099-2011）关于教室的采光要求和教室的照明要求，对校外培训机构教室（教学场所）采光系数、窗地面积比、防眩光措施、室内表面反射比、装设人工照明、课桌面照度、黑板照度等项目符合情况进行抽检。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.抽检范围。以区为单位，按辖区内持有办园许可证托幼机构总数不低于5%（抽检数量为小数时应向上取整数计算）、持有办学许可证校外培训机构总数不低于5%（抽检数量为小数时应向上取整数计算）的比例进行抽检，且最低抽检数量均不得少于5所，不足5所的全部抽检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（二）学校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学校教室的采光和照明抽检按照《关于印发2023年国家随机监督抽查计划的通知》（国疾控综监督二函〔2023〕66号）有关要求执行。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二、职责分工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（一）市卫生健康委负责2023年天津市托幼机构、校外培训机构、学校教室（教学场所）采光照明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抽检工作的总体组织协调。会同市教委制定2023年全市托幼机构、校外培训机构、学校教室（教学场所）采光照明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抽检工作方案，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做好全市抽检结果汇总和工作总结上报。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（二）市教委负责配合市卫生健康委，组织各区教育局做好2023年托幼机构、校外培训机构、学校教室（教学场所）采光照明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抽检相关工作。加强托幼机构、校外培训机构、学校教室（教学场所）采光照明的规范治理和督促整改，落实《天津市综合防控儿童青少年近视工作方案》相关任务。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（三）各区卫生健康委要会同区教育局，做好本区托幼机构、校外培训机构、学校教室（教学场所）采光照明“双随机”抽检工作。结合本区实际制定工作方案，</w:t>
      </w:r>
      <w:r>
        <w:rPr>
          <w:rFonts w:eastAsia="仿宋_GB2312"/>
          <w:sz w:val="32"/>
          <w:szCs w:val="32"/>
        </w:rPr>
        <w:t>严格制定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两库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（被抽检对象库和执法人员库），以</w:t>
      </w:r>
      <w:r>
        <w:rPr>
          <w:rFonts w:hint="eastAsia" w:eastAsia="仿宋_GB2312"/>
          <w:sz w:val="32"/>
          <w:szCs w:val="32"/>
        </w:rPr>
        <w:t>“双</w:t>
      </w:r>
      <w:r>
        <w:rPr>
          <w:rFonts w:eastAsia="仿宋_GB2312"/>
          <w:sz w:val="32"/>
          <w:szCs w:val="32"/>
        </w:rPr>
        <w:t>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方式抽取被抽检对象和执法人员，形成对应的抽检任务清单，并报市卫生健康委备案</w:t>
      </w:r>
      <w:r>
        <w:rPr>
          <w:rFonts w:ascii="Times New Roman" w:hAnsi="Times New Roman" w:eastAsia="仿宋_GB2312" w:cs="Times New Roman"/>
          <w:sz w:val="32"/>
          <w:szCs w:val="32"/>
        </w:rPr>
        <w:t>；组织做好相关检测工作，按时报送监督抽检结果汇总表及工作总结，及时公开抽检结果，并向区教育局通报。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各区教育局负责配合区卫生健康委落实相关工作任务，做好本区托幼机构、校外培训机构、学校的底数梳理，及时通报区卫生健康委，并提前组织做好被抽检机构的沟通联系工作。同时，要督促本区内托幼机构、校外培训机构、学校做好采光照明自查自纠工作，落实整改措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（五）市卫生健康监督所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要做好对各区的专业</w:t>
      </w:r>
      <w:r>
        <w:rPr>
          <w:rFonts w:ascii="Times New Roman" w:hAnsi="Times New Roman" w:eastAsia="仿宋_GB2312" w:cs="Times New Roman"/>
          <w:sz w:val="32"/>
          <w:szCs w:val="32"/>
        </w:rPr>
        <w:t>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</w:rPr>
        <w:t>全市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相关信息的</w:t>
      </w:r>
      <w:r>
        <w:rPr>
          <w:rFonts w:ascii="Times New Roman" w:hAnsi="Times New Roman" w:eastAsia="仿宋_GB2312" w:cs="Times New Roman"/>
          <w:sz w:val="32"/>
          <w:szCs w:val="32"/>
        </w:rPr>
        <w:t>统计、汇总、分析和总结上报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三、时间安排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（一）组织部署阶段（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8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eastAsia="楷体_GB2312" w:cs="Times New Roman"/>
          <w:sz w:val="32"/>
          <w:szCs w:val="32"/>
          <w:lang w:val="en"/>
        </w:rPr>
        <w:t>25</w:t>
      </w:r>
      <w:r>
        <w:rPr>
          <w:rFonts w:ascii="Times New Roman" w:hAnsi="Times New Roman" w:eastAsia="楷体_GB2312" w:cs="Times New Roman"/>
          <w:sz w:val="32"/>
          <w:szCs w:val="32"/>
        </w:rPr>
        <w:t>日前）。</w:t>
      </w:r>
      <w:r>
        <w:rPr>
          <w:rFonts w:ascii="Times New Roman" w:hAnsi="Times New Roman" w:eastAsia="仿宋_GB2312" w:cs="Times New Roman"/>
          <w:sz w:val="32"/>
          <w:szCs w:val="32"/>
        </w:rPr>
        <w:t>各区卫生健康委、教育局要做好托幼机构、校外培训机构、学校教室（教学场所）采光照明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抽检的筹备工作，制定本区工作方案，明确检查的内容和时间，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完成任务抽取，</w:t>
      </w:r>
      <w:r>
        <w:rPr>
          <w:rFonts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抽检工作联系人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、托幼机构和校外培训机构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名单</w:t>
      </w:r>
      <w:r>
        <w:rPr>
          <w:rFonts w:ascii="Times New Roman" w:hAnsi="Times New Roman" w:eastAsia="仿宋_GB2312" w:cs="Times New Roman"/>
          <w:sz w:val="32"/>
          <w:szCs w:val="32"/>
        </w:rPr>
        <w:t>（附件1）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</w:rPr>
        <w:t>本区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随机抽查任务清单报送</w:t>
      </w:r>
      <w:r>
        <w:rPr>
          <w:rFonts w:ascii="Times New Roman" w:hAnsi="Times New Roman" w:eastAsia="仿宋_GB2312" w:cs="Times New Roman"/>
          <w:sz w:val="32"/>
          <w:szCs w:val="32"/>
        </w:rPr>
        <w:t>至市卫生健康监督所。各区教育局确定相关工作联系人，将联系人和辖区托幼机构、校外培训机构、学校名单于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日前反馈各区卫生健康委。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（二）抽检实施阶段（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8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eastAsia="楷体_GB2312" w:cs="Times New Roman"/>
          <w:sz w:val="32"/>
          <w:szCs w:val="32"/>
          <w:lang w:val="en"/>
        </w:rPr>
        <w:t>25</w:t>
      </w:r>
      <w:r>
        <w:rPr>
          <w:rFonts w:ascii="Times New Roman" w:hAnsi="Times New Roman" w:eastAsia="楷体_GB2312" w:cs="Times New Roman"/>
          <w:sz w:val="32"/>
          <w:szCs w:val="32"/>
        </w:rPr>
        <w:t>日</w:t>
      </w:r>
      <w:r>
        <w:rPr>
          <w:rFonts w:hint="eastAsia" w:eastAsia="楷体_GB2312" w:cs="Times New Roman"/>
          <w:sz w:val="32"/>
          <w:szCs w:val="32"/>
          <w:lang w:eastAsia="zh-CN"/>
        </w:rPr>
        <w:t>至</w:t>
      </w: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月15日）。</w:t>
      </w:r>
      <w:r>
        <w:rPr>
          <w:rFonts w:ascii="Times New Roman" w:hAnsi="Times New Roman" w:eastAsia="仿宋_GB2312" w:cs="Times New Roman"/>
          <w:sz w:val="32"/>
          <w:szCs w:val="32"/>
        </w:rPr>
        <w:t>各区卫生健康委、教育局要积极配合，加强信息沟通联系，组织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ascii="Times New Roman" w:hAnsi="Times New Roman" w:eastAsia="仿宋_GB2312" w:cs="Times New Roman"/>
          <w:sz w:val="32"/>
          <w:szCs w:val="32"/>
        </w:rPr>
        <w:t>辖区托幼机构、校外培训机构、学校的采光照明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各项任务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（三）总结上报阶段（1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月15日</w:t>
      </w:r>
      <w:r>
        <w:rPr>
          <w:rFonts w:hint="eastAsia" w:eastAsia="楷体_GB2312" w:cs="Times New Roman"/>
          <w:sz w:val="32"/>
          <w:szCs w:val="32"/>
          <w:lang w:eastAsia="zh-CN"/>
        </w:rPr>
        <w:t>至</w:t>
      </w: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月27日）。</w:t>
      </w:r>
      <w:r>
        <w:rPr>
          <w:rFonts w:ascii="Times New Roman" w:hAnsi="Times New Roman" w:eastAsia="仿宋_GB2312" w:cs="Times New Roman"/>
          <w:sz w:val="32"/>
          <w:szCs w:val="32"/>
        </w:rPr>
        <w:t>各区卫生健康委、教育局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本区</w:t>
      </w:r>
      <w:r>
        <w:rPr>
          <w:rFonts w:ascii="Times New Roman" w:hAnsi="Times New Roman" w:eastAsia="仿宋_GB2312" w:cs="Times New Roman"/>
          <w:sz w:val="32"/>
          <w:szCs w:val="32"/>
        </w:rPr>
        <w:t>托幼机构、校外培训机构、学校采光照明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抽检工作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总结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，及时公开相关</w:t>
      </w:r>
      <w:r>
        <w:rPr>
          <w:rFonts w:ascii="Times New Roman" w:hAnsi="Times New Roman" w:eastAsia="仿宋_GB2312" w:cs="Times New Roman"/>
          <w:sz w:val="32"/>
          <w:szCs w:val="32"/>
        </w:rPr>
        <w:t>信息。各区卫生健康委要认真汇总和审核抽检结果，于2023年1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日前将抽检结果汇总表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（附件2）</w:t>
      </w:r>
      <w:r>
        <w:rPr>
          <w:rFonts w:ascii="Times New Roman" w:hAnsi="Times New Roman" w:eastAsia="仿宋_GB2312" w:cs="Times New Roman"/>
          <w:sz w:val="32"/>
          <w:szCs w:val="32"/>
        </w:rPr>
        <w:t>及工作总结（加盖公章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扫描</w:t>
      </w:r>
      <w:r>
        <w:rPr>
          <w:rFonts w:ascii="Times New Roman" w:hAnsi="Times New Roman" w:eastAsia="仿宋_GB2312" w:cs="Times New Roman"/>
          <w:sz w:val="32"/>
          <w:szCs w:val="32"/>
        </w:rPr>
        <w:t>版及word版）报至市卫生健康监督所。市卫生健康监督所要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sz w:val="32"/>
          <w:szCs w:val="32"/>
        </w:rPr>
        <w:t>对各区抽检工作的业务指导，做好全市数据信息收集、汇总工作，于1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月27日前报至市卫生健康委。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Times New Roman" w:eastAsia="仿宋_GB2312" w:cs="仿宋_GB2312"/>
          <w:sz w:val="32"/>
          <w:szCs w:val="32"/>
        </w:rPr>
        <w:t>各区要高度重视，增强大局意识，加强组织领导，按照当地政府落实儿童青少年近视防控措施整体部署，认真做好学校、托幼机构、校外培训机构教室（教学场所）采光和照明的“双随机”抽检、记录及公布工作。</w:t>
      </w:r>
    </w:p>
    <w:p>
      <w:pPr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hint="eastAsia" w:ascii="Times New Roman" w:eastAsia="仿宋_GB2312" w:cs="仿宋_GB2312"/>
          <w:sz w:val="32"/>
          <w:szCs w:val="32"/>
        </w:rPr>
        <w:t>各区卫生健康委和教育局要在明确部门分工的基础上，继续强化工作合力。教育部门要及时、全面、完整提供辖区内托幼机构和校外培训机构底数，为卫生健康部门进入现场抽检提供必要支持，指定负责人员做好沟通协调工作；卫生健康部门要以“双随机”方式抽取抽检人员和受检托幼机构、校外培训机构，开展检测并记录结果，指定负责人员做好结果报送的联系工作。</w:t>
      </w:r>
    </w:p>
    <w:p>
      <w:pPr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</w:t>
      </w:r>
      <w:r>
        <w:rPr>
          <w:rFonts w:hint="eastAsia" w:ascii="Times New Roman" w:eastAsia="仿宋_GB2312" w:cs="仿宋_GB2312"/>
          <w:sz w:val="32"/>
          <w:szCs w:val="32"/>
        </w:rPr>
        <w:t>各区卫生健康委部门要会同区教育局，结合本区实际情况制定具体实施方案，强化措施确保抽检工作质量，严格落实抽检工作任务，将抽检结果及时向同级教育局通报。教育局要督促辖区不达标学校、托幼机构、校外培训机构改进教室（教学场所）采光照明条件。各区卫生健康部门和教育局要共同对抽检结果进行分析研判，做好辖区抽检信息公布工作。</w:t>
      </w:r>
    </w:p>
    <w:p>
      <w:pPr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（四）各区卫生健康委要积极争取本区财政支持，足额保障2023年度本区托幼机构、校外培训机构、学校采光照明的“双随机”抽检工作，确保任务顺利完成。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五、联系方式</w:t>
      </w:r>
    </w:p>
    <w:p>
      <w:pPr>
        <w:pStyle w:val="4"/>
        <w:widowControl w:val="0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ascii="Times New Roman" w:hAnsi="Times New Roman" w:eastAsia="仿宋_GB2312" w:cs="Times New Roman"/>
          <w:sz w:val="32"/>
          <w:szCs w:val="32"/>
        </w:rPr>
        <w:t>市卫生健康委综合监督处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张征</w:t>
      </w:r>
    </w:p>
    <w:p>
      <w:pPr>
        <w:pStyle w:val="4"/>
        <w:widowControl w:val="0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23337637</w:t>
      </w:r>
    </w:p>
    <w:p>
      <w:pPr>
        <w:pStyle w:val="4"/>
        <w:widowControl w:val="0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</w:rPr>
        <w:t>市教委体美劳处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范欣颐</w:t>
      </w:r>
    </w:p>
    <w:p>
      <w:pPr>
        <w:pStyle w:val="4"/>
        <w:widowControl w:val="0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83215107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eastAsia="zh-CN"/>
        </w:rPr>
        <w:t>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eastAsia="zh-CN"/>
        </w:rPr>
        <w:t>人：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市卫生健康监督所</w:t>
      </w:r>
      <w:r>
        <w:rPr>
          <w:rFonts w:hint="default" w:eastAsia="仿宋_GB2312" w:cs="Times New Roman"/>
          <w:spacing w:val="0"/>
          <w:kern w:val="0"/>
          <w:sz w:val="32"/>
          <w:szCs w:val="32"/>
          <w:lang w:eastAsia="zh-CN"/>
        </w:rPr>
        <w:t>公卫二支队</w:t>
      </w:r>
      <w:r>
        <w:rPr>
          <w:rFonts w:hint="default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王大鹏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电话：23337553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政务</w:t>
      </w:r>
      <w:r>
        <w:rPr>
          <w:rFonts w:ascii="Times New Roman" w:hAnsi="Times New Roman" w:eastAsia="仿宋_GB2312" w:cs="Times New Roman"/>
          <w:sz w:val="32"/>
          <w:szCs w:val="32"/>
        </w:rPr>
        <w:t>邮箱：swsjds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school@tj.gov.cn。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    附件：1.抽检工作联系人名单</w:t>
      </w:r>
    </w:p>
    <w:p>
      <w:pPr>
        <w:spacing w:line="560" w:lineRule="exact"/>
        <w:ind w:firstLine="1600" w:firstLineChars="5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2.</w:t>
      </w:r>
      <w:r>
        <w:fldChar w:fldCharType="begin"/>
      </w:r>
      <w:r>
        <w:instrText xml:space="preserve"> HYPERLINK "http://www.nhc.gov.cn/zhjcj/s5851/201904/0266df7dcb3e469a9cc62f2a408563d3/files/dce9de9427c641d8b0ad9f0cff67bc74.docx" \t "_blank" </w:instrText>
      </w:r>
      <w:r>
        <w:fldChar w:fldCharType="separate"/>
      </w:r>
      <w:r>
        <w:rPr>
          <w:rFonts w:hint="eastAsia" w:ascii="Times New Roman" w:eastAsia="仿宋_GB2312"/>
          <w:sz w:val="32"/>
          <w:szCs w:val="32"/>
        </w:rPr>
        <w:t>教室（教学场所）采光和照明抽检结果汇总表</w:t>
      </w:r>
      <w:r>
        <w:rPr>
          <w:rFonts w:hint="eastAsia" w:ascii="Times New Roman" w:eastAsia="仿宋_GB2312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rPr>
          <w:rFonts w:asci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p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ind w:firstLine="90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抽检工作联系人名单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3634"/>
        <w:gridCol w:w="100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4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5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区教育部门抽检工作负责人</w:t>
            </w:r>
          </w:p>
        </w:tc>
        <w:tc>
          <w:tcPr>
            <w:tcW w:w="3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5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区卫生健康部门结果报送联系人</w:t>
            </w:r>
          </w:p>
        </w:tc>
        <w:tc>
          <w:tcPr>
            <w:tcW w:w="3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52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" w:hRule="atLeast"/>
        </w:trPr>
        <w:tc>
          <w:tcPr>
            <w:tcW w:w="14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托幼机构抽检单位名单</w:t>
            </w: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……</w:t>
            </w: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校外培训机构抽检单位名单</w:t>
            </w: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……</w:t>
            </w:r>
          </w:p>
        </w:tc>
        <w:tc>
          <w:tcPr>
            <w:tcW w:w="5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……</w:t>
            </w:r>
          </w:p>
        </w:tc>
      </w:tr>
    </w:tbl>
    <w:p>
      <w:pPr>
        <w:spacing w:line="360" w:lineRule="auto"/>
        <w:rPr>
          <w:rFonts w:asci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ind w:firstLine="90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教室（教学场所）采光和照明抽检结果汇总表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76"/>
        <w:gridCol w:w="1176"/>
        <w:gridCol w:w="836"/>
        <w:gridCol w:w="836"/>
        <w:gridCol w:w="1067"/>
        <w:gridCol w:w="1216"/>
        <w:gridCol w:w="1177"/>
        <w:gridCol w:w="1112"/>
        <w:gridCol w:w="1018"/>
        <w:gridCol w:w="11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机构类别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辖区单位总数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（个）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抽检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（个）</w:t>
            </w:r>
          </w:p>
        </w:tc>
        <w:tc>
          <w:tcPr>
            <w:tcW w:w="378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直接天然采光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采光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系数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窗地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面积比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照度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平均值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防眩光措施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室内表面反射比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装设人工照明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课桌面照度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黑板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照度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托幼机构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校外培训机构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--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注：采光测量方法按GB/T5699执行，照明测量方法按GB/T 5700执行。</w:t>
      </w:r>
    </w:p>
    <w:p>
      <w:pPr>
        <w:ind w:firstLine="622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填表人：       联系电话：           审核人：                </w:t>
      </w:r>
    </w:p>
    <w:p>
      <w:pPr>
        <w:rPr>
          <w:rFonts w:ascii="Times New Roman"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8"/>
          <w:cols w:space="0" w:num="1"/>
          <w:rtlGutter w:val="0"/>
          <w:docGrid w:type="linesAndChars" w:linePitch="579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E2BA"/>
    <w:rsid w:val="3DBF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2023-08-17T15:46:00Z</dcterms:created>
  <dc:creator>雨熹 Cisia</dc:creator>
  <cp:lastModifiedBy>雨熹 Cisia</cp:lastModifiedBy>
  <dcterms:modified xsi:type="dcterms:W3CDTF">2023-08-17T15:47:17Z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F32260CD2108243D70D0DD64973B950C_41</vt:lpwstr>
  </property>
</Properties>
</file>