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rPr>
          <w:rFonts w:hint="eastAsia" w:ascii="Times New Roman" w:hAnsi="Times New Roman" w:eastAsia="黑体" w:cs="黑体"/>
          <w:bCs/>
          <w:sz w:val="32"/>
          <w:szCs w:val="32"/>
        </w:rPr>
      </w:pPr>
      <w:r>
        <w:rPr>
          <w:rFonts w:hint="eastAsia" w:ascii="Times New Roman" w:hAnsi="Times New Roman" w:eastAsia="黑体" w:cs="黑体"/>
          <w:bCs/>
          <w:sz w:val="32"/>
          <w:szCs w:val="32"/>
        </w:rPr>
        <w:t>附件3</w:t>
      </w:r>
    </w:p>
    <w:p>
      <w:pPr>
        <w:pStyle w:val="2"/>
        <w:snapToGrid/>
        <w:spacing w:line="560" w:lineRule="exact"/>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黑体"/>
          <w:b w:val="0"/>
          <w:bCs w:val="0"/>
          <w:color w:val="auto"/>
          <w:sz w:val="32"/>
          <w:szCs w:val="32"/>
        </w:rPr>
      </w:pPr>
      <w:r>
        <w:rPr>
          <w:rFonts w:ascii="Times New Roman" w:eastAsia="方正小标宋简体"/>
          <w:b w:val="0"/>
          <w:bCs w:val="0"/>
          <w:color w:val="auto"/>
          <w:sz w:val="44"/>
          <w:szCs w:val="44"/>
          <w:lang w:val="en"/>
        </w:rPr>
        <w:t>202</w:t>
      </w:r>
      <w:r>
        <w:rPr>
          <w:rFonts w:hint="eastAsia" w:ascii="Times New Roman" w:eastAsia="方正小标宋简体"/>
          <w:b w:val="0"/>
          <w:bCs w:val="0"/>
          <w:color w:val="auto"/>
          <w:sz w:val="44"/>
          <w:szCs w:val="44"/>
          <w:lang w:val="en-US" w:eastAsia="zh-CN"/>
        </w:rPr>
        <w:t>3</w:t>
      </w:r>
      <w:r>
        <w:rPr>
          <w:rFonts w:hint="eastAsia" w:ascii="Times New Roman" w:eastAsia="方正小标宋简体"/>
          <w:b w:val="0"/>
          <w:bCs w:val="0"/>
          <w:color w:val="auto"/>
          <w:sz w:val="44"/>
          <w:szCs w:val="44"/>
        </w:rPr>
        <w:t>年学校卫生随机监督抽查计划</w:t>
      </w:r>
    </w:p>
    <w:p>
      <w:pPr>
        <w:autoSpaceDN w:val="0"/>
        <w:spacing w:line="560" w:lineRule="exact"/>
        <w:ind w:firstLine="640" w:firstLineChars="200"/>
        <w:outlineLvl w:val="0"/>
        <w:rPr>
          <w:rFonts w:ascii="Times New Roman" w:hAnsi="Times New Roman" w:eastAsia="黑体"/>
          <w:sz w:val="32"/>
          <w:szCs w:val="32"/>
        </w:rPr>
      </w:pPr>
    </w:p>
    <w:p>
      <w:pPr>
        <w:autoSpaceDN w:val="0"/>
        <w:spacing w:line="560" w:lineRule="exact"/>
        <w:ind w:firstLine="640" w:firstLineChars="200"/>
        <w:outlineLvl w:val="0"/>
        <w:rPr>
          <w:rFonts w:ascii="Times New Roman" w:hAnsi="Times New Roman" w:eastAsia="黑体"/>
          <w:b w:val="0"/>
          <w:bCs w:val="0"/>
          <w:sz w:val="32"/>
          <w:szCs w:val="32"/>
        </w:rPr>
      </w:pPr>
      <w:r>
        <w:rPr>
          <w:rFonts w:hint="eastAsia" w:ascii="Times New Roman" w:hAnsi="Times New Roman" w:eastAsia="黑体"/>
          <w:b w:val="0"/>
          <w:bCs w:val="0"/>
          <w:sz w:val="32"/>
          <w:szCs w:val="32"/>
        </w:rPr>
        <w:t>一、监督抽查内容</w:t>
      </w:r>
    </w:p>
    <w:p>
      <w:pPr>
        <w:autoSpaceDN w:val="0"/>
        <w:spacing w:line="560" w:lineRule="exact"/>
        <w:ind w:firstLine="640" w:firstLineChars="200"/>
        <w:jc w:val="both"/>
        <w:outlineLvl w:val="0"/>
        <w:rPr>
          <w:rFonts w:hint="eastAsia" w:ascii="Times New Roman" w:eastAsia="仿宋_GB2312"/>
          <w:sz w:val="32"/>
          <w:szCs w:val="32"/>
          <w:lang w:eastAsia="zh-CN"/>
        </w:rPr>
      </w:pPr>
      <w:r>
        <w:rPr>
          <w:rFonts w:hint="eastAsia" w:ascii="Times New Roman" w:eastAsia="仿宋_GB2312"/>
          <w:sz w:val="32"/>
          <w:szCs w:val="32"/>
          <w:lang w:eastAsia="zh-CN"/>
        </w:rPr>
        <w:t>抽查学校教学和生活环境、学习用品、传染病防控、学校饮用水的卫生管理情况，抽检教室采光、照明及人均面积和水质。加强学校新型冠状病毒感染常态化防控措施落实情况监督检查。</w:t>
      </w:r>
    </w:p>
    <w:p>
      <w:pPr>
        <w:autoSpaceDN w:val="0"/>
        <w:spacing w:line="560" w:lineRule="exact"/>
        <w:ind w:firstLine="640" w:firstLineChars="200"/>
        <w:outlineLvl w:val="0"/>
        <w:rPr>
          <w:rFonts w:ascii="Times New Roman" w:hAnsi="Times New Roman" w:eastAsia="黑体"/>
          <w:b w:val="0"/>
          <w:bCs w:val="0"/>
          <w:sz w:val="32"/>
          <w:szCs w:val="32"/>
        </w:rPr>
      </w:pPr>
      <w:r>
        <w:rPr>
          <w:rFonts w:hint="eastAsia" w:ascii="Times New Roman" w:hAnsi="Times New Roman" w:eastAsia="黑体"/>
          <w:b w:val="0"/>
          <w:bCs w:val="0"/>
          <w:sz w:val="32"/>
          <w:szCs w:val="32"/>
        </w:rPr>
        <w:t>二、工作要求</w:t>
      </w:r>
    </w:p>
    <w:p>
      <w:pPr>
        <w:spacing w:line="560" w:lineRule="exact"/>
        <w:ind w:firstLine="640" w:firstLineChars="200"/>
        <w:jc w:val="both"/>
        <w:rPr>
          <w:rFonts w:hint="eastAsia" w:ascii="Times New Roman" w:eastAsia="仿宋_GB2312"/>
          <w:sz w:val="32"/>
          <w:szCs w:val="32"/>
          <w:lang w:val="en-US" w:eastAsia="zh-CN"/>
        </w:rPr>
      </w:pPr>
      <w:r>
        <w:rPr>
          <w:rFonts w:hint="eastAsia" w:ascii="Times New Roman" w:eastAsia="仿宋_GB2312"/>
          <w:sz w:val="32"/>
          <w:szCs w:val="32"/>
        </w:rPr>
        <w:t>（一）各区要切实加强对上报数据信息的审核，按照抽查工作计划表及监督信息报告卡要求填报数据信息，保证数据信息项目齐全、质量可靠。</w:t>
      </w:r>
      <w:r>
        <w:rPr>
          <w:rFonts w:hint="eastAsia" w:ascii="Times New Roman" w:eastAsia="仿宋_GB2312"/>
          <w:sz w:val="32"/>
          <w:szCs w:val="32"/>
          <w:lang w:val="en-US" w:eastAsia="zh-CN"/>
        </w:rPr>
        <w:t xml:space="preserve">  </w:t>
      </w:r>
    </w:p>
    <w:p>
      <w:pPr>
        <w:spacing w:line="560" w:lineRule="exact"/>
        <w:ind w:firstLine="640" w:firstLineChars="200"/>
        <w:jc w:val="both"/>
        <w:rPr>
          <w:rFonts w:hint="eastAsia" w:ascii="Times New Roman" w:eastAsia="仿宋_GB2312"/>
          <w:sz w:val="32"/>
          <w:szCs w:val="32"/>
        </w:rPr>
      </w:pPr>
      <w:r>
        <w:rPr>
          <w:rFonts w:hint="eastAsia" w:ascii="Times New Roman" w:eastAsia="仿宋_GB2312"/>
          <w:sz w:val="32"/>
          <w:szCs w:val="32"/>
        </w:rPr>
        <w:t>（</w:t>
      </w:r>
      <w:r>
        <w:rPr>
          <w:rFonts w:hint="eastAsia" w:ascii="Times New Roman" w:eastAsia="仿宋_GB2312"/>
          <w:sz w:val="32"/>
          <w:szCs w:val="32"/>
          <w:lang w:eastAsia="zh-CN"/>
        </w:rPr>
        <w:t>二</w:t>
      </w:r>
      <w:r>
        <w:rPr>
          <w:rFonts w:hint="eastAsia" w:ascii="Times New Roman" w:eastAsia="仿宋_GB2312"/>
          <w:sz w:val="32"/>
          <w:szCs w:val="32"/>
        </w:rPr>
        <w:t>）各</w:t>
      </w:r>
      <w:r>
        <w:rPr>
          <w:rFonts w:hint="eastAsia" w:ascii="Times New Roman" w:eastAsia="仿宋_GB2312"/>
          <w:sz w:val="32"/>
          <w:szCs w:val="32"/>
          <w:lang w:eastAsia="zh-CN"/>
        </w:rPr>
        <w:t>区要将完成本抽查计划中的学校采光和照明抽查任务，作为贯彻落实《综合防控儿童青少年近视实施方案》的一项重要内容，会同辖区教育行政部门做好抽查、记录和公布工作。对监督检查中发现的突出问题,及时向当地政府主管部门通报情况,促进协同监管。</w:t>
      </w:r>
    </w:p>
    <w:p>
      <w:pPr>
        <w:spacing w:line="560" w:lineRule="exact"/>
        <w:ind w:firstLine="640" w:firstLineChars="200"/>
        <w:jc w:val="both"/>
        <w:rPr>
          <w:rFonts w:hint="eastAsia" w:ascii="Times New Roman" w:eastAsia="仿宋_GB2312"/>
          <w:sz w:val="32"/>
          <w:szCs w:val="32"/>
          <w:lang w:eastAsia="zh-CN"/>
        </w:rPr>
      </w:pPr>
      <w:r>
        <w:rPr>
          <w:rFonts w:hint="eastAsia" w:ascii="Times New Roman" w:eastAsia="仿宋_GB2312"/>
          <w:sz w:val="32"/>
          <w:szCs w:val="32"/>
        </w:rPr>
        <w:t>（</w:t>
      </w:r>
      <w:r>
        <w:rPr>
          <w:rFonts w:hint="eastAsia" w:ascii="Times New Roman" w:eastAsia="仿宋_GB2312"/>
          <w:sz w:val="32"/>
          <w:szCs w:val="32"/>
          <w:lang w:eastAsia="zh-CN"/>
        </w:rPr>
        <w:t>三</w:t>
      </w:r>
      <w:r>
        <w:rPr>
          <w:rFonts w:hint="eastAsia" w:ascii="Times New Roman" w:eastAsia="仿宋_GB2312"/>
          <w:sz w:val="32"/>
          <w:szCs w:val="32"/>
        </w:rPr>
        <w:t>）各区要在</w:t>
      </w:r>
      <w:r>
        <w:rPr>
          <w:rFonts w:hint="eastAsia" w:ascii="Times New Roman" w:eastAsia="仿宋_GB2312"/>
          <w:sz w:val="32"/>
          <w:szCs w:val="32"/>
          <w:lang w:val="en-US" w:eastAsia="zh-CN"/>
        </w:rPr>
        <w:t>2023年</w:t>
      </w:r>
      <w:r>
        <w:rPr>
          <w:rFonts w:hint="eastAsia" w:ascii="Times New Roman" w:eastAsia="仿宋_GB2312"/>
          <w:sz w:val="32"/>
          <w:szCs w:val="32"/>
        </w:rPr>
        <w:t>11月</w:t>
      </w:r>
      <w:r>
        <w:rPr>
          <w:rFonts w:hint="eastAsia" w:ascii="Times New Roman" w:eastAsia="仿宋_GB2312"/>
          <w:sz w:val="32"/>
          <w:szCs w:val="32"/>
          <w:lang w:val="en-US" w:eastAsia="zh-CN"/>
        </w:rPr>
        <w:t>15</w:t>
      </w:r>
      <w:r>
        <w:rPr>
          <w:rFonts w:hint="eastAsia" w:ascii="Times New Roman" w:eastAsia="仿宋_GB2312"/>
          <w:sz w:val="32"/>
          <w:szCs w:val="32"/>
        </w:rPr>
        <w:t>日前完成全部抽查任务</w:t>
      </w:r>
      <w:r>
        <w:rPr>
          <w:rFonts w:hint="eastAsia" w:ascii="Times New Roman" w:eastAsia="仿宋_GB2312"/>
          <w:sz w:val="32"/>
          <w:szCs w:val="32"/>
          <w:lang w:eastAsia="zh-CN"/>
        </w:rPr>
        <w:t>和</w:t>
      </w:r>
      <w:r>
        <w:rPr>
          <w:rFonts w:hint="eastAsia" w:ascii="Times New Roman" w:eastAsia="仿宋_GB2312"/>
          <w:sz w:val="32"/>
          <w:szCs w:val="32"/>
        </w:rPr>
        <w:t>结果报送，并将</w:t>
      </w:r>
      <w:r>
        <w:rPr>
          <w:rFonts w:hint="eastAsia" w:ascii="Times New Roman" w:eastAsia="仿宋_GB2312"/>
          <w:sz w:val="32"/>
          <w:szCs w:val="32"/>
          <w:lang w:eastAsia="zh-CN"/>
        </w:rPr>
        <w:t>抽查工作</w:t>
      </w:r>
      <w:r>
        <w:rPr>
          <w:rFonts w:hint="eastAsia" w:ascii="Times New Roman" w:eastAsia="仿宋_GB2312"/>
          <w:sz w:val="32"/>
          <w:szCs w:val="32"/>
        </w:rPr>
        <w:t>总结</w:t>
      </w:r>
      <w:r>
        <w:rPr>
          <w:rFonts w:hint="eastAsia" w:ascii="Times New Roman" w:eastAsia="仿宋_GB2312"/>
          <w:sz w:val="32"/>
          <w:szCs w:val="32"/>
          <w:lang w:val="en-US" w:eastAsia="zh-CN"/>
        </w:rPr>
        <w:t>电子版和</w:t>
      </w:r>
      <w:r>
        <w:rPr>
          <w:rFonts w:hint="eastAsia" w:ascii="Times New Roman" w:eastAsia="仿宋_GB2312"/>
          <w:sz w:val="32"/>
          <w:szCs w:val="32"/>
        </w:rPr>
        <w:t>加盖公章的PDF扫描文件报送至</w:t>
      </w:r>
      <w:r>
        <w:rPr>
          <w:rFonts w:hint="eastAsia" w:ascii="Times New Roman" w:eastAsia="仿宋_GB2312"/>
          <w:sz w:val="32"/>
          <w:szCs w:val="32"/>
          <w:lang w:eastAsia="zh-CN"/>
        </w:rPr>
        <w:t>市</w:t>
      </w:r>
      <w:r>
        <w:rPr>
          <w:rFonts w:hint="eastAsia" w:ascii="Times New Roman" w:eastAsia="仿宋_GB2312"/>
          <w:sz w:val="32"/>
          <w:szCs w:val="32"/>
          <w:lang w:val="en-US" w:eastAsia="zh-CN"/>
        </w:rPr>
        <w:t>卫生健康</w:t>
      </w:r>
      <w:r>
        <w:rPr>
          <w:rFonts w:hint="eastAsia" w:ascii="Times New Roman" w:eastAsia="仿宋_GB2312"/>
          <w:sz w:val="32"/>
          <w:szCs w:val="32"/>
          <w:lang w:eastAsia="zh-CN"/>
        </w:rPr>
        <w:t>监督所。</w:t>
      </w:r>
    </w:p>
    <w:p>
      <w:pPr>
        <w:autoSpaceDN w:val="0"/>
        <w:spacing w:line="560" w:lineRule="exact"/>
        <w:rPr>
          <w:rFonts w:ascii="Times New Roman" w:hAnsi="Times New Roman" w:eastAsia="黑体"/>
          <w:b/>
          <w:bCs/>
          <w:sz w:val="32"/>
          <w:szCs w:val="32"/>
        </w:rPr>
      </w:pPr>
      <w:r>
        <w:rPr>
          <w:rFonts w:hint="eastAsia" w:ascii="Times New Roman" w:hAnsi="Times New Roman" w:eastAsia="黑体"/>
          <w:b/>
          <w:bCs/>
          <w:sz w:val="32"/>
          <w:szCs w:val="32"/>
          <w:lang w:val="en-US" w:eastAsia="zh-CN"/>
        </w:rPr>
        <w:t xml:space="preserve"> </w:t>
      </w:r>
      <w:r>
        <w:rPr>
          <w:rFonts w:hint="eastAsia" w:ascii="Times New Roman" w:hAnsi="Times New Roman" w:eastAsia="黑体"/>
          <w:b w:val="0"/>
          <w:bCs w:val="0"/>
          <w:sz w:val="32"/>
          <w:szCs w:val="32"/>
          <w:lang w:val="en-US" w:eastAsia="zh-CN"/>
        </w:rPr>
        <w:t xml:space="preserve">   </w:t>
      </w:r>
      <w:r>
        <w:rPr>
          <w:rFonts w:hint="eastAsia" w:ascii="Times New Roman" w:hAnsi="Times New Roman" w:eastAsia="黑体"/>
          <w:b w:val="0"/>
          <w:bCs w:val="0"/>
          <w:sz w:val="32"/>
          <w:szCs w:val="32"/>
        </w:rPr>
        <w:t>三、联系方式</w:t>
      </w:r>
    </w:p>
    <w:p>
      <w:pPr>
        <w:spacing w:line="560" w:lineRule="exact"/>
        <w:rPr>
          <w:rFonts w:ascii="Times New Roman" w:hAnsi="Times New Roman" w:eastAsia="仿宋_GB2312" w:cs="仿宋_GB2312"/>
          <w:sz w:val="32"/>
          <w:szCs w:val="32"/>
        </w:rPr>
      </w:pPr>
      <w:r>
        <w:rPr>
          <w:rFonts w:hint="eastAsia" w:ascii="Times New Roman" w:eastAsia="仿宋_GB2312"/>
          <w:bCs/>
          <w:sz w:val="32"/>
          <w:szCs w:val="32"/>
          <w:lang w:val="en-US" w:eastAsia="zh-CN"/>
        </w:rPr>
        <w:t xml:space="preserve">    </w:t>
      </w:r>
      <w:r>
        <w:rPr>
          <w:rFonts w:hint="eastAsia" w:ascii="Times New Roman" w:eastAsia="仿宋_GB2312"/>
          <w:bCs/>
          <w:sz w:val="32"/>
          <w:szCs w:val="32"/>
        </w:rPr>
        <w:t>联系人：</w:t>
      </w:r>
      <w:r>
        <w:rPr>
          <w:rFonts w:hint="eastAsia" w:ascii="Times New Roman" w:hAnsi="Times New Roman" w:eastAsia="仿宋_GB2312" w:cs="仿宋_GB2312"/>
          <w:sz w:val="32"/>
          <w:szCs w:val="32"/>
        </w:rPr>
        <w:t xml:space="preserve">天津市卫生健康监督所 </w:t>
      </w:r>
      <w:r>
        <w:rPr>
          <w:rFonts w:ascii="Times New Roman" w:hAnsi="Times New Roman" w:eastAsia="仿宋_GB2312" w:cs="仿宋_GB2312"/>
          <w:sz w:val="32"/>
          <w:szCs w:val="32"/>
        </w:rPr>
        <w:t xml:space="preserve"> </w:t>
      </w:r>
    </w:p>
    <w:p>
      <w:pPr>
        <w:autoSpaceDN w:val="0"/>
        <w:spacing w:line="560" w:lineRule="exact"/>
        <w:ind w:firstLine="1920" w:firstLineChars="600"/>
        <w:jc w:val="both"/>
        <w:rPr>
          <w:rFonts w:hint="eastAsia" w:ascii="Times New Roman" w:eastAsia="仿宋_GB2312"/>
          <w:bCs/>
          <w:sz w:val="32"/>
          <w:szCs w:val="32"/>
        </w:rPr>
      </w:pPr>
      <w:r>
        <w:rPr>
          <w:rFonts w:hint="eastAsia" w:ascii="Times New Roman" w:hAnsi="Times New Roman" w:eastAsia="仿宋_GB2312" w:cs="仿宋_GB2312"/>
          <w:sz w:val="32"/>
          <w:szCs w:val="32"/>
          <w:lang w:eastAsia="zh-CN"/>
        </w:rPr>
        <w:t>公共卫生执法</w:t>
      </w:r>
      <w:r>
        <w:rPr>
          <w:rFonts w:ascii="Times New Roman" w:hAnsi="Times New Roman" w:eastAsia="仿宋_GB2312" w:cs="仿宋_GB2312"/>
          <w:sz w:val="32"/>
          <w:szCs w:val="32"/>
        </w:rPr>
        <w:t>二支队</w:t>
      </w:r>
      <w:r>
        <w:rPr>
          <w:rFonts w:hint="eastAsia" w:ascii="Times New Roman" w:eastAsia="仿宋_GB2312"/>
          <w:bCs/>
          <w:sz w:val="32"/>
          <w:szCs w:val="32"/>
        </w:rPr>
        <w:t xml:space="preserve">  王大鹏</w:t>
      </w:r>
    </w:p>
    <w:p>
      <w:pPr>
        <w:autoSpaceDN w:val="0"/>
        <w:spacing w:line="560" w:lineRule="exact"/>
        <w:ind w:firstLine="691" w:firstLineChars="216"/>
        <w:jc w:val="both"/>
        <w:rPr>
          <w:rFonts w:hint="eastAsia" w:ascii="Times New Roman" w:hAnsi="Times New Roman" w:eastAsia="仿宋_GB2312"/>
          <w:bCs/>
          <w:sz w:val="32"/>
          <w:szCs w:val="32"/>
        </w:rPr>
      </w:pPr>
      <w:r>
        <w:rPr>
          <w:rFonts w:hint="eastAsia" w:ascii="Times New Roman" w:hAnsi="Times New Roman" w:eastAsia="仿宋_GB2312"/>
          <w:bCs/>
          <w:sz w:val="32"/>
          <w:szCs w:val="32"/>
        </w:rPr>
        <w:t>电话（传真）：23337553</w:t>
      </w:r>
    </w:p>
    <w:p>
      <w:pPr>
        <w:autoSpaceDN w:val="0"/>
        <w:spacing w:line="560" w:lineRule="exact"/>
        <w:ind w:firstLine="691" w:firstLineChars="216"/>
        <w:rPr>
          <w:rFonts w:ascii="Times New Roman" w:eastAsia="仿宋_GB2312"/>
          <w:sz w:val="32"/>
          <w:szCs w:val="32"/>
        </w:rPr>
      </w:pPr>
      <w:r>
        <w:rPr>
          <w:rFonts w:hint="eastAsia" w:ascii="Times New Roman" w:eastAsia="仿宋_GB2312"/>
          <w:bCs/>
          <w:sz w:val="32"/>
          <w:szCs w:val="32"/>
        </w:rPr>
        <w:t>电子邮箱：</w:t>
      </w:r>
      <w:r>
        <w:rPr>
          <w:rFonts w:hint="eastAsia" w:ascii="Times New Roman" w:eastAsia="仿宋_GB2312"/>
          <w:color w:val="auto"/>
          <w:sz w:val="32"/>
          <w:szCs w:val="32"/>
        </w:rPr>
        <w:t>swsjds_school@tj.gov.cn</w:t>
      </w:r>
    </w:p>
    <w:p>
      <w:pPr>
        <w:autoSpaceDN w:val="0"/>
        <w:spacing w:line="560" w:lineRule="exact"/>
        <w:ind w:firstLine="691" w:firstLineChars="216"/>
        <w:rPr>
          <w:rFonts w:ascii="Times New Roman" w:eastAsia="仿宋_GB2312"/>
          <w:sz w:val="32"/>
          <w:szCs w:val="32"/>
        </w:rPr>
      </w:pPr>
    </w:p>
    <w:p>
      <w:pPr>
        <w:spacing w:line="560" w:lineRule="exact"/>
        <w:ind w:left="1598" w:leftChars="304" w:hanging="960" w:hangingChars="300"/>
        <w:jc w:val="both"/>
        <w:rPr>
          <w:rFonts w:hint="default" w:ascii="Times New Roman" w:eastAsia="仿宋_GB2312"/>
          <w:sz w:val="32"/>
          <w:szCs w:val="32"/>
          <w:lang w:val="en-US" w:eastAsia="zh-CN"/>
        </w:rPr>
      </w:pPr>
      <w:r>
        <w:rPr>
          <w:rFonts w:hint="eastAsia" w:ascii="Times New Roman" w:eastAsia="仿宋_GB2312"/>
          <w:sz w:val="32"/>
          <w:szCs w:val="32"/>
        </w:rPr>
        <w:t>附表</w:t>
      </w:r>
      <w:r>
        <w:rPr>
          <w:rFonts w:hint="eastAsia" w:ascii="Times New Roman" w:eastAsia="仿宋_GB2312"/>
          <w:sz w:val="32"/>
          <w:szCs w:val="32"/>
          <w:lang w:eastAsia="zh-CN"/>
        </w:rPr>
        <w:t>：</w:t>
      </w:r>
      <w:r>
        <w:rPr>
          <w:rFonts w:hint="default" w:ascii="Times New Roman" w:eastAsia="仿宋_GB2312"/>
          <w:sz w:val="32"/>
          <w:szCs w:val="32"/>
          <w:lang w:val="en"/>
        </w:rPr>
        <w:t>2023年学校卫生国家随机监督抽查工作计划</w:t>
      </w:r>
      <w:r>
        <w:rPr>
          <w:rFonts w:hint="eastAsia" w:ascii="Times New Roman" w:eastAsia="仿宋_GB2312"/>
          <w:sz w:val="32"/>
          <w:szCs w:val="32"/>
          <w:lang w:val="en-US" w:eastAsia="zh-CN"/>
        </w:rPr>
        <w:t>表</w:t>
      </w:r>
    </w:p>
    <w:p>
      <w:pPr>
        <w:spacing w:line="560" w:lineRule="exact"/>
        <w:ind w:firstLine="640" w:firstLineChars="200"/>
        <w:rPr>
          <w:rFonts w:ascii="Times New Roman" w:eastAsia="仿宋_GB2312"/>
          <w:sz w:val="32"/>
          <w:szCs w:val="32"/>
        </w:rPr>
        <w:sectPr>
          <w:pgSz w:w="11906" w:h="16838"/>
          <w:pgMar w:top="2098" w:right="1474" w:bottom="1417" w:left="1587" w:header="851" w:footer="1134" w:gutter="0"/>
          <w:pgNumType w:fmt="decimal"/>
          <w:cols w:space="0" w:num="1"/>
          <w:rtlGutter w:val="0"/>
          <w:docGrid w:type="lines" w:linePitch="312" w:charSpace="0"/>
        </w:sectPr>
      </w:pPr>
    </w:p>
    <w:p>
      <w:pPr>
        <w:spacing w:beforeLines="0"/>
        <w:jc w:val="left"/>
        <w:rPr>
          <w:rFonts w:hint="eastAsia" w:ascii="黑体" w:hAnsi="黑体" w:eastAsia="黑体" w:cs="黑体"/>
          <w:bCs/>
          <w:sz w:val="32"/>
          <w:szCs w:val="32"/>
          <w:lang w:val="en-US" w:eastAsia="zh-CN"/>
        </w:rPr>
      </w:pPr>
      <w:r>
        <w:rPr>
          <w:rFonts w:hint="eastAsia" w:ascii="黑体" w:hAnsi="黑体" w:eastAsia="黑体" w:cs="黑体"/>
          <w:bCs/>
          <w:sz w:val="32"/>
          <w:szCs w:val="32"/>
        </w:rPr>
        <w:t>附表</w:t>
      </w:r>
    </w:p>
    <w:p>
      <w:pPr>
        <w:spacing w:before="0" w:beforeLines="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2023年学校卫生国家随机监督抽查工作计划表</w:t>
      </w:r>
    </w:p>
    <w:tbl>
      <w:tblPr>
        <w:tblStyle w:val="3"/>
        <w:tblW w:w="50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1266"/>
        <w:gridCol w:w="6370"/>
        <w:gridCol w:w="3151"/>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396" w:type="pc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监督检查对象</w:t>
            </w:r>
          </w:p>
        </w:tc>
        <w:tc>
          <w:tcPr>
            <w:tcW w:w="463" w:type="pc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范围和数量</w:t>
            </w:r>
          </w:p>
        </w:tc>
        <w:tc>
          <w:tcPr>
            <w:tcW w:w="2329" w:type="pc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检查内容</w:t>
            </w:r>
          </w:p>
        </w:tc>
        <w:tc>
          <w:tcPr>
            <w:tcW w:w="1152" w:type="pc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检测项目</w:t>
            </w:r>
          </w:p>
        </w:tc>
        <w:tc>
          <w:tcPr>
            <w:tcW w:w="659" w:type="pc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4" w:hRule="atLeast"/>
          <w:jc w:val="center"/>
        </w:trPr>
        <w:tc>
          <w:tcPr>
            <w:tcW w:w="396" w:type="pc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中小学校及高校</w:t>
            </w:r>
          </w:p>
        </w:tc>
        <w:tc>
          <w:tcPr>
            <w:tcW w:w="463" w:type="pc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辖区学校总数的20%</w:t>
            </w:r>
          </w:p>
        </w:tc>
        <w:tc>
          <w:tcPr>
            <w:tcW w:w="2329" w:type="pc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1.学校落实教学和生活环境卫生要求情况，包括教室课桌椅配备</w:t>
            </w:r>
            <w:r>
              <w:rPr>
                <w:rFonts w:hint="eastAsia" w:ascii="宋体" w:hAnsi="宋体" w:eastAsia="宋体" w:cs="宋体"/>
                <w:sz w:val="21"/>
                <w:szCs w:val="21"/>
                <w:vertAlign w:val="superscript"/>
              </w:rPr>
              <w:t>(a)</w:t>
            </w:r>
            <w:r>
              <w:rPr>
                <w:rFonts w:hint="eastAsia" w:ascii="宋体" w:hAnsi="宋体" w:eastAsia="宋体" w:cs="宋体"/>
                <w:sz w:val="21"/>
                <w:szCs w:val="21"/>
              </w:rPr>
              <w:t>、教室采光和照明</w:t>
            </w:r>
            <w:r>
              <w:rPr>
                <w:rFonts w:hint="eastAsia" w:ascii="宋体" w:hAnsi="宋体" w:eastAsia="宋体" w:cs="宋体"/>
                <w:sz w:val="21"/>
                <w:szCs w:val="21"/>
                <w:vertAlign w:val="superscript"/>
              </w:rPr>
              <w:t>(b)</w:t>
            </w:r>
            <w:r>
              <w:rPr>
                <w:rFonts w:hint="eastAsia" w:ascii="宋体" w:hAnsi="宋体" w:eastAsia="宋体" w:cs="宋体"/>
                <w:sz w:val="21"/>
                <w:szCs w:val="21"/>
              </w:rPr>
              <w:t>、教室人均面积、教室和宿舍通风设施、教学楼厕所及洗手设施设置等情况。学校提供的学习用品达标情况</w:t>
            </w:r>
            <w:r>
              <w:rPr>
                <w:rFonts w:hint="eastAsia" w:ascii="宋体" w:hAnsi="宋体" w:eastAsia="宋体" w:cs="宋体"/>
                <w:sz w:val="21"/>
                <w:szCs w:val="21"/>
                <w:vertAlign w:val="superscript"/>
              </w:rPr>
              <w:t>（c）</w:t>
            </w:r>
            <w:r>
              <w:rPr>
                <w:rFonts w:hint="eastAsia" w:ascii="宋体" w:hAnsi="宋体" w:eastAsia="宋体" w:cs="宋体"/>
                <w:sz w:val="21"/>
                <w:szCs w:val="21"/>
              </w:rPr>
              <w:t>,包括教室灯具</w:t>
            </w:r>
            <w:r>
              <w:rPr>
                <w:rFonts w:hint="eastAsia" w:ascii="宋体" w:hAnsi="宋体" w:eastAsia="宋体" w:cs="宋体"/>
                <w:sz w:val="21"/>
                <w:szCs w:val="21"/>
                <w:vertAlign w:val="superscript"/>
              </w:rPr>
              <w:t>(d)</w:t>
            </w:r>
            <w:r>
              <w:rPr>
                <w:rFonts w:hint="eastAsia" w:ascii="宋体" w:hAnsi="宋体" w:eastAsia="宋体" w:cs="宋体"/>
                <w:sz w:val="21"/>
                <w:szCs w:val="21"/>
              </w:rPr>
              <w:t>、考试试卷</w:t>
            </w:r>
            <w:r>
              <w:rPr>
                <w:rFonts w:hint="eastAsia" w:ascii="宋体" w:hAnsi="宋体" w:eastAsia="宋体" w:cs="宋体"/>
                <w:sz w:val="21"/>
                <w:szCs w:val="21"/>
                <w:vertAlign w:val="superscript"/>
              </w:rPr>
              <w:t>(e)</w:t>
            </w:r>
            <w:r>
              <w:rPr>
                <w:rFonts w:hint="eastAsia" w:ascii="宋体" w:hAnsi="宋体" w:eastAsia="宋体" w:cs="宋体"/>
                <w:sz w:val="21"/>
                <w:szCs w:val="21"/>
              </w:rPr>
              <w:t>等情况。</w:t>
            </w:r>
          </w:p>
          <w:p>
            <w:pPr>
              <w:keepNext/>
              <w:keepLines/>
              <w:pageBreakBefore w:val="0"/>
              <w:widowControl/>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2.学校落实传染病和常见病防控要求情况，包括专人负责疫情报告、传染病防控“一案八制”</w:t>
            </w:r>
            <w:r>
              <w:rPr>
                <w:rFonts w:hint="eastAsia" w:ascii="宋体" w:hAnsi="宋体" w:eastAsia="宋体" w:cs="宋体"/>
                <w:sz w:val="21"/>
                <w:szCs w:val="21"/>
                <w:vertAlign w:val="superscript"/>
              </w:rPr>
              <w:t>(f)</w:t>
            </w:r>
            <w:r>
              <w:rPr>
                <w:rFonts w:hint="eastAsia" w:ascii="宋体" w:hAnsi="宋体" w:eastAsia="宋体" w:cs="宋体"/>
                <w:sz w:val="21"/>
                <w:szCs w:val="21"/>
              </w:rPr>
              <w:t>、晨检记录和因病缺勤病因追查与登记记录、复课证明查验、新生入学接种证查验登记、按规定实施学生健康体检等情况。</w:t>
            </w:r>
            <w:r>
              <w:rPr>
                <w:rFonts w:hint="eastAsia" w:ascii="宋体" w:hAnsi="宋体" w:eastAsia="宋体" w:cs="宋体"/>
                <w:sz w:val="21"/>
                <w:szCs w:val="21"/>
                <w:lang w:eastAsia="zh-CN"/>
              </w:rPr>
              <w:t>学校新型冠状病毒感染防控措施落实情况</w:t>
            </w:r>
            <w:r>
              <w:rPr>
                <w:rFonts w:hint="eastAsia" w:ascii="宋体" w:hAnsi="宋体" w:eastAsia="宋体" w:cs="宋体"/>
                <w:sz w:val="21"/>
                <w:szCs w:val="21"/>
                <w:vertAlign w:val="superscript"/>
              </w:rPr>
              <w:t>(</w:t>
            </w:r>
            <w:r>
              <w:rPr>
                <w:rFonts w:hint="eastAsia" w:ascii="宋体" w:hAnsi="宋体" w:eastAsia="宋体" w:cs="宋体"/>
                <w:sz w:val="21"/>
                <w:szCs w:val="21"/>
                <w:vertAlign w:val="superscript"/>
                <w:lang w:val="en-US" w:eastAsia="zh-CN"/>
              </w:rPr>
              <w:t>g</w:t>
            </w:r>
            <w:r>
              <w:rPr>
                <w:rFonts w:hint="eastAsia" w:ascii="宋体" w:hAnsi="宋体" w:eastAsia="宋体" w:cs="宋体"/>
                <w:sz w:val="21"/>
                <w:szCs w:val="21"/>
                <w:vertAlign w:val="superscript"/>
              </w:rPr>
              <w:t>)</w:t>
            </w:r>
            <w:r>
              <w:rPr>
                <w:rFonts w:hint="eastAsia" w:ascii="宋体" w:hAnsi="宋体" w:eastAsia="宋体" w:cs="宋体"/>
                <w:sz w:val="21"/>
                <w:szCs w:val="21"/>
              </w:rPr>
              <w:t>。</w:t>
            </w:r>
          </w:p>
          <w:p>
            <w:pPr>
              <w:keepNext/>
              <w:keepLines/>
              <w:pageBreakBefore w:val="0"/>
              <w:widowControl/>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3.学校落实饮用水卫生要求情况，包括使用自建设施集中式供水的学校落实水源卫生防护、配备使用水质消毒设施设备情况和使用二次供水的学校防止蓄水池周围污染和按规定开展蓄水池清洗消毒情况。</w:t>
            </w:r>
          </w:p>
          <w:p>
            <w:pPr>
              <w:keepNext/>
              <w:keepLines/>
              <w:pageBreakBefore w:val="0"/>
              <w:widowControl/>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4.学校纳入卫生监督协管服务情况。</w:t>
            </w:r>
          </w:p>
        </w:tc>
        <w:tc>
          <w:tcPr>
            <w:tcW w:w="1152" w:type="pc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1.教室采光、照明及教室人均面积。</w:t>
            </w:r>
          </w:p>
          <w:p>
            <w:pPr>
              <w:keepNext/>
              <w:keepLines/>
              <w:pageBreakBefore w:val="0"/>
              <w:widowControl/>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2.学校自建设施集中式供水和二次供水水质色度、浑浊度、臭和味、肉眼可见物、pH和消毒剂余量。</w:t>
            </w:r>
          </w:p>
        </w:tc>
        <w:tc>
          <w:tcPr>
            <w:tcW w:w="659" w:type="pc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1.连续两年被任务抽取到的学校，应确保检测教室与上一年不同</w:t>
            </w:r>
          </w:p>
          <w:p>
            <w:pPr>
              <w:keepNext/>
              <w:keepLines/>
              <w:pageBreakBefore w:val="0"/>
              <w:widowControl/>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rPr>
            </w:pPr>
          </w:p>
        </w:tc>
      </w:tr>
    </w:tbl>
    <w:p>
      <w:pPr>
        <w:numPr>
          <w:ilvl w:val="0"/>
          <w:numId w:val="0"/>
        </w:numPr>
        <w:autoSpaceDE w:val="0"/>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a.指每间教室至少设有2种不同高低型号的课桌椅，且每人一席。</w:t>
      </w:r>
    </w:p>
    <w:p>
      <w:pPr>
        <w:numPr>
          <w:ilvl w:val="0"/>
          <w:numId w:val="0"/>
        </w:numPr>
        <w:autoSpaceDE w:val="0"/>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b.教室采光和照明检查项目含窗地面积比、采光方向、防眩光措施、装设人工照明、黑板局部照明灯设置、课桌面照度及均匀度、黑板照度及均匀度，按照《中小学校教室采光和照明卫生标准》（GB7793）的规定进行达标判定。</w:t>
      </w:r>
    </w:p>
    <w:p>
      <w:pPr>
        <w:numPr>
          <w:ilvl w:val="0"/>
          <w:numId w:val="0"/>
        </w:numPr>
        <w:autoSpaceDE w:val="0"/>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c.指达到《儿童青少年学习用品近视防控卫生要求》（GB40070）相关规定情况。</w:t>
      </w:r>
    </w:p>
    <w:p>
      <w:pPr>
        <w:numPr>
          <w:ilvl w:val="0"/>
          <w:numId w:val="0"/>
        </w:numPr>
        <w:autoSpaceDE w:val="0"/>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d.灯具检查包括强制性产品认证、色温、显色指数、蓝光。可通过现场查看灯具标志标识及索证资料来完成。对于GB7001中不免除视网膜蓝光危害评估的灯具，根据IEC/TR 62778进行蓝光危害评估，黑板局部照明灯或教室一般照明灯中有一种不合格即判定为该项不合格；其他免除视网膜蓝光危害评估的灯具默认蓝光合格。</w:t>
      </w:r>
    </w:p>
    <w:p>
      <w:pPr>
        <w:numPr>
          <w:ilvl w:val="0"/>
          <w:numId w:val="0"/>
        </w:numPr>
        <w:autoSpaceDE w:val="0"/>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e.考试试卷检查包括学校自制考试试卷纸张D65亮度及D65荧光亮度、字体字号、行空。可通过实验室检测或现场查看索证资料来完成。</w:t>
      </w:r>
    </w:p>
    <w:p>
      <w:pPr>
        <w:numPr>
          <w:ilvl w:val="0"/>
          <w:numId w:val="0"/>
        </w:numPr>
        <w:autoSpaceDE w:val="0"/>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f.指《中小学校传染病预防控制工作管理规范》（GB28932）第4.8条规定的传染病预防控制应急预案和相关制度。</w:t>
      </w:r>
    </w:p>
    <w:p>
      <w:pPr>
        <w:numPr>
          <w:ilvl w:val="0"/>
          <w:numId w:val="0"/>
        </w:numPr>
        <w:autoSpaceDE w:val="0"/>
        <w:ind w:left="420" w:hanging="420" w:hanging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g.落实国家及属地新型冠状病毒感染防控措施要求即为合格。</w:t>
      </w:r>
    </w:p>
    <w:p>
      <w:pPr>
        <w:spacing w:line="360" w:lineRule="auto"/>
        <w:rPr>
          <w:rFonts w:ascii="仿宋_GB2312" w:hAnsi="华文仿宋" w:eastAsia="仿宋_GB2312" w:cs="仿宋_GB2312"/>
          <w:bCs/>
          <w:sz w:val="32"/>
          <w:szCs w:val="32"/>
        </w:rPr>
        <w:sectPr>
          <w:pgSz w:w="16838" w:h="11906" w:orient="landscape"/>
          <w:pgMar w:top="1440" w:right="1800" w:bottom="1440" w:left="1800" w:header="851" w:footer="992" w:gutter="0"/>
          <w:pgNumType w:fmt="decimal"/>
          <w:cols w:space="720" w:num="1"/>
          <w:docGrid w:type="lines" w:linePitch="319"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F1FB0"/>
    <w:rsid w:val="78EF1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2023-04-19T12:14:00Z</dcterms:created>
  <dc:creator>雨熹 Cisia</dc:creator>
  <cp:lastModifiedBy>雨熹 Cisia</cp:lastModifiedBy>
  <dcterms:modified xsi:type="dcterms:W3CDTF">2023-04-19T12:14:31Z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7968E68FF926A30B916A3F642850343E_41</vt:lpwstr>
  </property>
</Properties>
</file>