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420" w:leftChars="-200" w:right="-313" w:rightChars="-149" w:firstLine="0" w:firstLineChars="0"/>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313" w:rightChars="-149" w:firstLine="0" w:firstLineChars="0"/>
        <w:jc w:val="center"/>
        <w:textAlignment w:val="auto"/>
        <w:rPr>
          <w:rFonts w:hint="default" w:ascii="Times New Roman" w:hAnsi="Times New Roman" w:eastAsia="方正小标宋简体" w:cs="Times New Roman"/>
          <w:b w:val="0"/>
          <w:bCs w:val="0"/>
          <w:color w:val="auto"/>
          <w:sz w:val="36"/>
          <w:szCs w:val="40"/>
        </w:rPr>
      </w:pPr>
      <w:r>
        <w:rPr>
          <w:rFonts w:hint="default" w:ascii="Times New Roman" w:hAnsi="Times New Roman" w:eastAsia="方正小标宋简体" w:cs="Times New Roman"/>
          <w:b w:val="0"/>
          <w:bCs w:val="0"/>
          <w:color w:val="auto"/>
          <w:sz w:val="36"/>
          <w:szCs w:val="40"/>
        </w:rPr>
        <w:t>天津市医疗机构院感防控卫生监督专项督查检查表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楷体_GB2312" w:cs="Times New Roman"/>
          <w:b w:val="0"/>
          <w:bCs w:val="0"/>
          <w:color w:val="auto"/>
          <w:szCs w:val="21"/>
        </w:rPr>
      </w:pPr>
      <w:r>
        <w:rPr>
          <w:rFonts w:hint="default" w:ascii="Times New Roman" w:hAnsi="Times New Roman" w:eastAsia="楷体_GB2312" w:cs="Times New Roman"/>
          <w:b w:val="0"/>
          <w:bCs w:val="0"/>
          <w:color w:val="auto"/>
          <w:szCs w:val="21"/>
        </w:rPr>
        <w:t>辖区：</w:t>
      </w:r>
      <w:r>
        <w:rPr>
          <w:rFonts w:hint="default" w:ascii="Times New Roman" w:hAnsi="Times New Roman" w:eastAsia="楷体_GB2312" w:cs="Times New Roman"/>
          <w:b w:val="0"/>
          <w:bCs w:val="0"/>
          <w:color w:val="auto"/>
          <w:szCs w:val="21"/>
          <w:u w:val="single"/>
        </w:rPr>
        <w:t xml:space="preserve">          </w:t>
      </w:r>
      <w:r>
        <w:rPr>
          <w:rFonts w:hint="default" w:ascii="Times New Roman" w:hAnsi="Times New Roman" w:eastAsia="楷体_GB2312" w:cs="Times New Roman"/>
          <w:b w:val="0"/>
          <w:bCs w:val="0"/>
          <w:color w:val="auto"/>
          <w:szCs w:val="21"/>
        </w:rPr>
        <w:t xml:space="preserve">      机构名称：</w:t>
      </w:r>
      <w:r>
        <w:rPr>
          <w:rFonts w:hint="default" w:ascii="Times New Roman" w:hAnsi="Times New Roman" w:eastAsia="楷体_GB2312" w:cs="Times New Roman"/>
          <w:b w:val="0"/>
          <w:bCs w:val="0"/>
          <w:color w:val="auto"/>
          <w:szCs w:val="21"/>
          <w:u w:val="single"/>
        </w:rPr>
        <w:t xml:space="preserve">                    </w:t>
      </w:r>
      <w:r>
        <w:rPr>
          <w:rFonts w:hint="default" w:ascii="Times New Roman" w:hAnsi="Times New Roman" w:eastAsia="楷体_GB2312" w:cs="Times New Roman"/>
          <w:b w:val="0"/>
          <w:bCs w:val="0"/>
          <w:color w:val="auto"/>
          <w:szCs w:val="21"/>
        </w:rPr>
        <w:t xml:space="preserve">      检查日期：</w:t>
      </w:r>
      <w:r>
        <w:rPr>
          <w:rFonts w:hint="default" w:ascii="Times New Roman" w:hAnsi="Times New Roman" w:eastAsia="楷体_GB2312" w:cs="Times New Roman"/>
          <w:b w:val="0"/>
          <w:bCs w:val="0"/>
          <w:color w:val="auto"/>
          <w:szCs w:val="21"/>
          <w:u w:val="single"/>
        </w:rPr>
        <w:t xml:space="preserve">           </w:t>
      </w:r>
      <w:r>
        <w:rPr>
          <w:rFonts w:hint="default" w:ascii="Times New Roman" w:hAnsi="Times New Roman" w:eastAsia="楷体_GB2312" w:cs="Times New Roman"/>
          <w:b w:val="0"/>
          <w:bCs w:val="0"/>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val="0"/>
          <w:bCs w:val="0"/>
          <w:color w:val="auto"/>
          <w:szCs w:val="21"/>
        </w:rPr>
      </w:pPr>
      <w:r>
        <w:rPr>
          <w:rFonts w:hint="default" w:ascii="Times New Roman" w:hAnsi="Times New Roman" w:eastAsia="楷体_GB2312" w:cs="Times New Roman"/>
          <w:b w:val="0"/>
          <w:bCs w:val="0"/>
          <w:color w:val="auto"/>
          <w:szCs w:val="21"/>
        </w:rPr>
        <w:t xml:space="preserve">类别：□二级医院      □一级及以下医院      □门诊部      □诊所      □其他          </w:t>
      </w: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5245"/>
        <w:gridCol w:w="141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黑体" w:cs="Times New Roman"/>
                <w:b w:val="0"/>
                <w:bCs w:val="0"/>
                <w:color w:val="auto"/>
                <w:kern w:val="0"/>
                <w:szCs w:val="21"/>
              </w:rPr>
            </w:pPr>
            <w:r>
              <w:rPr>
                <w:rFonts w:hint="default" w:ascii="Times New Roman" w:hAnsi="Times New Roman" w:eastAsia="黑体" w:cs="Times New Roman"/>
                <w:b w:val="0"/>
                <w:bCs w:val="0"/>
                <w:color w:val="auto"/>
                <w:kern w:val="0"/>
                <w:szCs w:val="21"/>
              </w:rPr>
              <w:t>类别</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黑体" w:cs="Times New Roman"/>
                <w:b w:val="0"/>
                <w:bCs w:val="0"/>
                <w:color w:val="auto"/>
                <w:kern w:val="0"/>
                <w:szCs w:val="21"/>
              </w:rPr>
            </w:pPr>
            <w:r>
              <w:rPr>
                <w:rFonts w:hint="default" w:ascii="Times New Roman" w:hAnsi="Times New Roman" w:eastAsia="黑体" w:cs="Times New Roman"/>
                <w:b w:val="0"/>
                <w:bCs w:val="0"/>
                <w:color w:val="auto"/>
                <w:kern w:val="0"/>
                <w:szCs w:val="21"/>
              </w:rPr>
              <w:t>序号</w:t>
            </w:r>
          </w:p>
        </w:tc>
        <w:tc>
          <w:tcPr>
            <w:tcW w:w="5245"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黑体" w:cs="Times New Roman"/>
                <w:b w:val="0"/>
                <w:bCs w:val="0"/>
                <w:color w:val="auto"/>
                <w:kern w:val="0"/>
                <w:szCs w:val="21"/>
              </w:rPr>
            </w:pPr>
            <w:r>
              <w:rPr>
                <w:rFonts w:hint="default" w:ascii="Times New Roman" w:hAnsi="Times New Roman" w:eastAsia="黑体" w:cs="Times New Roman"/>
                <w:b w:val="0"/>
                <w:bCs w:val="0"/>
                <w:color w:val="auto"/>
                <w:kern w:val="0"/>
                <w:szCs w:val="21"/>
              </w:rPr>
              <w:t>检查内容</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ind w:left="-66" w:leftChars="-40" w:hanging="18" w:hangingChars="9"/>
              <w:jc w:val="center"/>
              <w:textAlignment w:val="auto"/>
              <w:rPr>
                <w:rFonts w:hint="default" w:ascii="Times New Roman" w:hAnsi="Times New Roman" w:eastAsia="黑体" w:cs="Times New Roman"/>
                <w:b w:val="0"/>
                <w:bCs w:val="0"/>
                <w:color w:val="auto"/>
                <w:kern w:val="0"/>
                <w:szCs w:val="21"/>
              </w:rPr>
            </w:pPr>
            <w:r>
              <w:rPr>
                <w:rFonts w:hint="default" w:ascii="Times New Roman" w:hAnsi="Times New Roman" w:eastAsia="黑体" w:cs="Times New Roman"/>
                <w:b w:val="0"/>
                <w:bCs w:val="0"/>
                <w:color w:val="auto"/>
                <w:kern w:val="0"/>
                <w:szCs w:val="21"/>
              </w:rPr>
              <w:t>检查结果</w:t>
            </w:r>
          </w:p>
          <w:p>
            <w:pPr>
              <w:keepNext w:val="0"/>
              <w:keepLines w:val="0"/>
              <w:pageBreakBefore w:val="0"/>
              <w:widowControl/>
              <w:kinsoku/>
              <w:wordWrap/>
              <w:overflowPunct/>
              <w:topLinePunct w:val="0"/>
              <w:autoSpaceDE/>
              <w:autoSpaceDN/>
              <w:bidi w:val="0"/>
              <w:adjustRightInd w:val="0"/>
              <w:snapToGrid w:val="0"/>
              <w:spacing w:line="220" w:lineRule="exact"/>
              <w:ind w:left="-71" w:leftChars="-40" w:hanging="13" w:hangingChars="9"/>
              <w:jc w:val="center"/>
              <w:textAlignment w:val="auto"/>
              <w:rPr>
                <w:rFonts w:hint="default" w:ascii="Times New Roman" w:hAnsi="Times New Roman" w:eastAsia="黑体" w:cs="Times New Roman"/>
                <w:b w:val="0"/>
                <w:bCs w:val="0"/>
                <w:color w:val="auto"/>
                <w:kern w:val="0"/>
                <w:szCs w:val="21"/>
              </w:rPr>
            </w:pPr>
            <w:r>
              <w:rPr>
                <w:rFonts w:hint="default" w:ascii="Times New Roman" w:hAnsi="Times New Roman" w:eastAsia="黑体" w:cs="Times New Roman"/>
                <w:b w:val="0"/>
                <w:bCs w:val="0"/>
                <w:color w:val="auto"/>
                <w:kern w:val="0"/>
                <w:sz w:val="15"/>
                <w:szCs w:val="15"/>
              </w:rPr>
              <w:t>（合格/不合格）</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ind w:right="21" w:rightChars="10"/>
              <w:jc w:val="center"/>
              <w:textAlignment w:val="auto"/>
              <w:rPr>
                <w:rFonts w:hint="default" w:ascii="Times New Roman" w:hAnsi="Times New Roman" w:eastAsia="黑体" w:cs="Times New Roman"/>
                <w:b w:val="0"/>
                <w:bCs w:val="0"/>
                <w:color w:val="auto"/>
                <w:kern w:val="0"/>
                <w:szCs w:val="21"/>
              </w:rPr>
            </w:pPr>
            <w:r>
              <w:rPr>
                <w:rFonts w:hint="default" w:ascii="Times New Roman" w:hAnsi="Times New Roman" w:eastAsia="黑体" w:cs="Times New Roman"/>
                <w:b w:val="0"/>
                <w:bCs w:val="0"/>
                <w:color w:val="auto"/>
                <w:kern w:val="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restart"/>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1.预检分诊</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*1.1</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是否对所有入院人员核验二维码</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*1.2</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是否对所有入院人员进行有效测温</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*1.3</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是否安排有相关经验的医生或护士进行预检分诊</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*1.4</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是否及时、准确更新中高风险地区</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*1.5</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是否逐一对所有入院人员询问流行病学史</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*1.6</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lang w:eastAsia="zh-CN"/>
              </w:rPr>
            </w:pPr>
            <w:r>
              <w:rPr>
                <w:rFonts w:hint="default" w:ascii="Times New Roman" w:hAnsi="Times New Roman" w:eastAsia="仿宋_GB2312" w:cs="Times New Roman"/>
                <w:b w:val="0"/>
                <w:bCs w:val="0"/>
                <w:color w:val="auto"/>
                <w:kern w:val="0"/>
                <w:szCs w:val="21"/>
              </w:rPr>
              <w:t>是否设置独立的隔离转送点</w:t>
            </w:r>
            <w:r>
              <w:rPr>
                <w:rFonts w:hint="default" w:ascii="Times New Roman" w:hAnsi="Times New Roman" w:eastAsia="仿宋_GB2312" w:cs="Times New Roman"/>
                <w:b w:val="0"/>
                <w:bCs w:val="0"/>
                <w:color w:val="auto"/>
                <w:kern w:val="0"/>
                <w:szCs w:val="21"/>
                <w:lang w:eastAsia="zh-CN"/>
              </w:rPr>
              <w:t>，保证不交叉</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1.7</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预检分诊人员自身防护是否到位（口罩、隔离衣、面屏）</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cs="Times New Roman"/>
                <w:b w:val="0"/>
                <w:bCs w:val="0"/>
                <w:color w:val="auto"/>
                <w:kern w:val="0"/>
                <w:szCs w:val="21"/>
              </w:rPr>
            </w:pP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*1.8</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是否规范准确开展预检分诊</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cs="Times New Roman"/>
                <w:b w:val="0"/>
                <w:bCs w:val="0"/>
                <w:color w:val="auto"/>
                <w:kern w:val="0"/>
                <w:szCs w:val="21"/>
              </w:rPr>
            </w:pP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restart"/>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2.秩序管控</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2.1</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医护人员、工作人员是否规范佩戴口罩</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cs="Times New Roman"/>
                <w:b w:val="0"/>
                <w:bCs w:val="0"/>
                <w:color w:val="auto"/>
                <w:kern w:val="0"/>
                <w:sz w:val="24"/>
                <w:szCs w:val="24"/>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2.2</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是否对院内患者及家属不规范佩戴口罩的情况及时进行提示管理</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cs="Times New Roman"/>
                <w:b w:val="0"/>
                <w:bCs w:val="0"/>
                <w:color w:val="auto"/>
                <w:kern w:val="0"/>
                <w:sz w:val="24"/>
                <w:szCs w:val="24"/>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2.3</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是否结合自身实际情况对容易形成人员聚集的点位安排专人进行有效疏导</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cs="Times New Roman"/>
                <w:b w:val="0"/>
                <w:bCs w:val="0"/>
                <w:color w:val="auto"/>
                <w:kern w:val="0"/>
                <w:sz w:val="24"/>
                <w:szCs w:val="24"/>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2.4</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是否符合“一医一患一诊室”的要求</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restart"/>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3.环境卫生</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3.1</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是否在相关点位设置足够的手卫生设施</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3.2</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是否按照规范要求进行物表和空气消毒，并做好记录</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3.3</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是否按照规范要求分类存放医疗废物，并做好交接记录</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restart"/>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4.管理责任</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4.1</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lang w:eastAsia="zh-CN"/>
              </w:rPr>
            </w:pPr>
            <w:r>
              <w:rPr>
                <w:rFonts w:hint="default" w:ascii="Times New Roman" w:hAnsi="Times New Roman" w:eastAsia="仿宋_GB2312" w:cs="Times New Roman"/>
                <w:b w:val="0"/>
                <w:bCs w:val="0"/>
                <w:color w:val="auto"/>
                <w:kern w:val="0"/>
                <w:szCs w:val="21"/>
              </w:rPr>
              <w:t>是否制定新冠疫情防控工作方案</w:t>
            </w:r>
            <w:r>
              <w:rPr>
                <w:rFonts w:hint="default" w:ascii="Times New Roman" w:hAnsi="Times New Roman" w:eastAsia="仿宋_GB2312" w:cs="Times New Roman"/>
                <w:b w:val="0"/>
                <w:bCs w:val="0"/>
                <w:color w:val="auto"/>
                <w:kern w:val="0"/>
                <w:szCs w:val="21"/>
                <w:lang w:eastAsia="zh-CN"/>
              </w:rPr>
              <w:t>和应急预案</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4.2</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是否明确院感防控工作责任人</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*4.3</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是否明确掌握</w:t>
            </w:r>
            <w:r>
              <w:rPr>
                <w:rFonts w:hint="default" w:ascii="Times New Roman" w:hAnsi="Times New Roman" w:cs="Times New Roman"/>
                <w:b w:val="0"/>
                <w:bCs w:val="0"/>
                <w:color w:val="auto"/>
                <w:kern w:val="0"/>
                <w:szCs w:val="21"/>
              </w:rPr>
              <w:t>和做好</w:t>
            </w:r>
            <w:r>
              <w:rPr>
                <w:rFonts w:hint="default" w:ascii="Times New Roman" w:hAnsi="Times New Roman" w:eastAsia="仿宋_GB2312" w:cs="Times New Roman"/>
                <w:b w:val="0"/>
                <w:bCs w:val="0"/>
                <w:color w:val="auto"/>
                <w:kern w:val="0"/>
                <w:szCs w:val="21"/>
              </w:rPr>
              <w:t>遇发热患者的处置流程（包括报告、转送、记录、签字等环节）</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restart"/>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5.健康监测</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5.1</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lang w:eastAsia="zh-CN"/>
              </w:rPr>
            </w:pPr>
            <w:r>
              <w:rPr>
                <w:rFonts w:hint="default" w:ascii="Times New Roman" w:hAnsi="Times New Roman" w:eastAsia="仿宋_GB2312" w:cs="Times New Roman"/>
                <w:b w:val="0"/>
                <w:bCs w:val="0"/>
                <w:color w:val="auto"/>
                <w:kern w:val="0"/>
                <w:szCs w:val="21"/>
              </w:rPr>
              <w:t>是否建立医护人员、工作人员每日健康监测制度</w:t>
            </w:r>
            <w:r>
              <w:rPr>
                <w:rFonts w:hint="default" w:ascii="Times New Roman" w:hAnsi="Times New Roman" w:eastAsia="仿宋_GB2312" w:cs="Times New Roman"/>
                <w:b w:val="0"/>
                <w:bCs w:val="0"/>
                <w:color w:val="auto"/>
                <w:kern w:val="0"/>
                <w:szCs w:val="21"/>
                <w:lang w:eastAsia="zh-CN"/>
              </w:rPr>
              <w:t>并有效执行</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5.2</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中高风险地区返津工作人员是否经核酸检测阴性后再返回工作岗位</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5.3</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是否对高风险暴露人群每周进行核酸检测</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5.4</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是否对全体医护人员、工作人员每月进行核酸检测</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restart"/>
            <w:noWrap w:val="0"/>
            <w:vAlign w:val="center"/>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6.住院管理</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*6.1</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是否设置缓冲病房</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top"/>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*6.2</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是否存在未经核酸检测阴性收入非缓冲病房的情况</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top"/>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*6.3</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是否实行住院区域24小时门禁管理</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09" w:type="dxa"/>
            <w:vMerge w:val="continue"/>
            <w:noWrap w:val="0"/>
            <w:vAlign w:val="top"/>
          </w:tcPr>
          <w:p>
            <w:pPr>
              <w:keepNext w:val="0"/>
              <w:keepLines w:val="0"/>
              <w:pageBreakBefore w:val="0"/>
              <w:widowControl/>
              <w:kinsoku/>
              <w:wordWrap/>
              <w:overflowPunct/>
              <w:topLinePunct w:val="0"/>
              <w:autoSpaceDE/>
              <w:autoSpaceDN/>
              <w:bidi w:val="0"/>
              <w:spacing w:line="220" w:lineRule="exact"/>
              <w:textAlignment w:val="auto"/>
              <w:rPr>
                <w:rFonts w:hint="default" w:ascii="Times New Roman" w:hAnsi="Times New Roman" w:cs="Times New Roman"/>
                <w:b w:val="0"/>
                <w:bCs w:val="0"/>
                <w:color w:val="auto"/>
                <w:kern w:val="0"/>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*6.4</w:t>
            </w:r>
          </w:p>
        </w:tc>
        <w:tc>
          <w:tcPr>
            <w:tcW w:w="5245"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是否推行无陪护或每位患者原则上固定一位陪护</w:t>
            </w:r>
          </w:p>
        </w:tc>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c>
          <w:tcPr>
            <w:tcW w:w="2132"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default" w:ascii="Times New Roman" w:hAnsi="Times New Roman" w:eastAsia="仿宋_GB2312" w:cs="Times New Roman"/>
                <w:b w:val="0"/>
                <w:bCs w:val="0"/>
                <w:color w:val="auto"/>
                <w:kern w:val="0"/>
                <w:szCs w:val="21"/>
              </w:rPr>
            </w:pPr>
            <w:r>
              <w:rPr>
                <w:rFonts w:hint="default" w:ascii="Times New Roman" w:hAnsi="Times New Roman" w:eastAsia="仿宋_GB2312" w:cs="Times New Roman"/>
                <w:b w:val="0"/>
                <w:bCs w:val="0"/>
                <w:color w:val="auto"/>
                <w:kern w:val="0"/>
                <w:szCs w:val="21"/>
              </w:rPr>
              <w:t>　</w:t>
            </w:r>
          </w:p>
        </w:tc>
      </w:tr>
    </w:tbl>
    <w:p>
      <w:pPr>
        <w:widowControl/>
        <w:rPr>
          <w:rFonts w:hint="default" w:ascii="Times New Roman" w:hAnsi="Times New Roman" w:eastAsia="楷体_GB2312" w:cs="Times New Roman"/>
          <w:b w:val="0"/>
          <w:bCs w:val="0"/>
          <w:color w:val="auto"/>
          <w:kern w:val="0"/>
          <w:szCs w:val="21"/>
        </w:rPr>
      </w:pPr>
      <w:r>
        <w:rPr>
          <w:rFonts w:hint="default" w:ascii="Times New Roman" w:hAnsi="Times New Roman" w:eastAsia="楷体_GB2312" w:cs="Times New Roman"/>
          <w:b w:val="0"/>
          <w:bCs w:val="0"/>
          <w:color w:val="auto"/>
          <w:kern w:val="0"/>
          <w:szCs w:val="21"/>
        </w:rPr>
        <w:t>标*为重点项</w:t>
      </w:r>
    </w:p>
    <w:p>
      <w:r>
        <w:rPr>
          <w:rFonts w:hint="eastAsia" w:ascii="黑体" w:hAnsi="黑体" w:eastAsia="黑体" w:cs="黑体"/>
          <w:b w:val="0"/>
          <w:bCs w:val="0"/>
          <w:color w:val="auto"/>
          <w:kern w:val="0"/>
          <w:sz w:val="28"/>
          <w:szCs w:val="28"/>
        </w:rPr>
        <w:t>被检查单位签字：                  监督员签字：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Courier New">
    <w:panose1 w:val="02070409020205090404"/>
    <w:charset w:val="00"/>
    <w:family w:val="modern"/>
    <w:pitch w:val="default"/>
    <w:sig w:usb0="E0000AFF" w:usb1="40007843" w:usb2="00000001" w:usb3="00000000" w:csb0="400001BF" w:csb1="DFF70000"/>
  </w:font>
  <w:font w:name="方正小标宋简体">
    <w:altName w:val="汉仪书宋二KW"/>
    <w:panose1 w:val="03000509000000000000"/>
    <w:charset w:val="00"/>
    <w:family w:val="script"/>
    <w:pitch w:val="default"/>
    <w:sig w:usb0="00000000" w:usb1="00000000" w:usb2="00000000" w:usb3="00000000" w:csb0="00040000" w:csb1="00000000"/>
  </w:font>
  <w:font w:name="PMingLiU">
    <w:altName w:val="宋体-繁"/>
    <w:panose1 w:val="02020500000000000000"/>
    <w:charset w:val="00"/>
    <w:family w:val="roma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方正仿宋_GBK">
    <w:panose1 w:val="02000000000000000000"/>
    <w:charset w:val="86"/>
    <w:family w:val="script"/>
    <w:pitch w:val="default"/>
    <w:sig w:usb0="A00002BF" w:usb1="38CF7CFA" w:usb2="00082016" w:usb3="00000000" w:csb0="00040001" w:csb1="00000000"/>
  </w:font>
  <w:font w:name="FZXBSJW--GB1-0">
    <w:altName w:val="苹方-简"/>
    <w:panose1 w:val="00000000000000000000"/>
    <w:charset w:val="00"/>
    <w:family w:val="roman"/>
    <w:pitch w:val="default"/>
    <w:sig w:usb0="00000000" w:usb1="00000000"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繁">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EFD7A36"/>
    <w:rsid w:val="AEFD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2021-01-25T20:58:00Z</dcterms:created>
  <dc:creator>yuxi</dc:creator>
  <cp:lastModifiedBy>yuxi</cp:lastModifiedBy>
  <dcterms:modified xsi:type="dcterms:W3CDTF">2021-01-25T20:59:06Z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