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bookmarkStart w:id="0" w:name="_GoBack"/>
      <w:r>
        <w:rPr>
          <w:rStyle w:val="5"/>
        </w:rPr>
        <w:t>关于印发不同人群预防新型冠状病毒感染口罩选择与使用技术指引的通知</w:t>
      </w:r>
      <w:bookmarkEnd w:id="0"/>
    </w:p>
    <w:p>
      <w:pPr>
        <w:pStyle w:val="2"/>
        <w:keepNext w:val="0"/>
        <w:keepLines w:val="0"/>
        <w:widowControl/>
        <w:suppressLineNumbers w:val="0"/>
        <w:spacing w:before="0" w:beforeAutospacing="0" w:after="0" w:afterAutospacing="0" w:line="420" w:lineRule="atLeast"/>
        <w:ind w:left="0" w:right="0"/>
        <w:jc w:val="center"/>
      </w:pPr>
      <w:r>
        <w:rPr>
          <w:rStyle w:val="5"/>
        </w:rPr>
        <w:t>肺炎机制发〔2020〕20号</w:t>
      </w:r>
    </w:p>
    <w:p>
      <w:pPr>
        <w:pStyle w:val="2"/>
        <w:keepNext w:val="0"/>
        <w:keepLines w:val="0"/>
        <w:widowControl/>
        <w:suppressLineNumbers w:val="0"/>
        <w:spacing w:before="0" w:beforeAutospacing="0" w:after="0" w:afterAutospacing="0" w:line="420" w:lineRule="atLeast"/>
        <w:ind w:left="0" w:right="0"/>
        <w:jc w:val="left"/>
      </w:pPr>
      <w:r>
        <w:t>各省、自治区、直辖市及新疆生产建设兵团应对新型冠状病毒感染的肺炎疫情联防联控机制（领导小组、指挥部）：</w:t>
      </w:r>
    </w:p>
    <w:p>
      <w:pPr>
        <w:pStyle w:val="2"/>
        <w:keepNext w:val="0"/>
        <w:keepLines w:val="0"/>
        <w:widowControl/>
        <w:suppressLineNumbers w:val="0"/>
        <w:spacing w:before="0" w:beforeAutospacing="0" w:after="0" w:afterAutospacing="0" w:line="420" w:lineRule="atLeast"/>
        <w:ind w:left="0" w:right="0" w:firstLine="420"/>
        <w:jc w:val="left"/>
      </w:pPr>
      <w:r>
        <w:t>在新型冠状病毒感染的肺炎流行期间，为指导不同人群科学合理地选择和使用口罩，严防新型冠状病毒感染的肺炎疫情蔓延和扩散，制定了《不同人群预防新型冠状病毒感染口罩选择和使用技术指引》。现印发给你们，请参照执行。</w:t>
      </w:r>
    </w:p>
    <w:p>
      <w:pPr>
        <w:pStyle w:val="2"/>
        <w:keepNext w:val="0"/>
        <w:keepLines w:val="0"/>
        <w:widowControl/>
        <w:suppressLineNumbers w:val="0"/>
        <w:spacing w:before="0" w:beforeAutospacing="0" w:after="0" w:afterAutospacing="0" w:line="420" w:lineRule="atLeast"/>
        <w:ind w:left="0" w:right="0" w:firstLine="420"/>
        <w:jc w:val="right"/>
      </w:pPr>
      <w:r>
        <w:t>国务院应对新型冠状病毒感染的</w:t>
      </w:r>
    </w:p>
    <w:p>
      <w:pPr>
        <w:pStyle w:val="2"/>
        <w:keepNext w:val="0"/>
        <w:keepLines w:val="0"/>
        <w:widowControl/>
        <w:suppressLineNumbers w:val="0"/>
        <w:spacing w:before="0" w:beforeAutospacing="0" w:after="0" w:afterAutospacing="0" w:line="420" w:lineRule="atLeast"/>
        <w:ind w:left="0" w:right="0" w:firstLine="420"/>
        <w:jc w:val="right"/>
      </w:pPr>
      <w:r>
        <w:t>肺 炎 疫 情 联 防 联 控 机 制</w:t>
      </w:r>
    </w:p>
    <w:p>
      <w:pPr>
        <w:pStyle w:val="2"/>
        <w:keepNext w:val="0"/>
        <w:keepLines w:val="0"/>
        <w:widowControl/>
        <w:suppressLineNumbers w:val="0"/>
        <w:spacing w:before="0" w:beforeAutospacing="0" w:after="0" w:afterAutospacing="0" w:line="420" w:lineRule="atLeast"/>
        <w:ind w:left="0" w:right="0" w:firstLine="420"/>
        <w:jc w:val="right"/>
      </w:pPr>
      <w:r>
        <w:t>（代章）</w:t>
      </w:r>
    </w:p>
    <w:p>
      <w:pPr>
        <w:pStyle w:val="2"/>
        <w:keepNext w:val="0"/>
        <w:keepLines w:val="0"/>
        <w:widowControl/>
        <w:suppressLineNumbers w:val="0"/>
        <w:spacing w:before="0" w:beforeAutospacing="0" w:after="0" w:afterAutospacing="0" w:line="420" w:lineRule="atLeast"/>
        <w:ind w:left="0" w:right="0" w:firstLine="420"/>
        <w:jc w:val="right"/>
      </w:pPr>
      <w:r>
        <w:t>2020年2月4日</w:t>
      </w:r>
    </w:p>
    <w:p>
      <w:pPr>
        <w:pStyle w:val="2"/>
        <w:keepNext w:val="0"/>
        <w:keepLines w:val="0"/>
        <w:widowControl/>
        <w:suppressLineNumbers w:val="0"/>
        <w:spacing w:before="0" w:beforeAutospacing="0" w:after="0" w:afterAutospacing="0" w:line="420" w:lineRule="atLeast"/>
        <w:ind w:left="0" w:right="0"/>
        <w:jc w:val="center"/>
      </w:pPr>
      <w:r>
        <w:rPr>
          <w:rStyle w:val="5"/>
        </w:rPr>
        <w:t>不同人群预防新型冠状病毒感染口罩选择与使用技术指引</w:t>
      </w:r>
    </w:p>
    <w:p>
      <w:pPr>
        <w:pStyle w:val="2"/>
        <w:keepNext w:val="0"/>
        <w:keepLines w:val="0"/>
        <w:widowControl/>
        <w:suppressLineNumbers w:val="0"/>
        <w:spacing w:before="0" w:beforeAutospacing="0" w:after="0" w:afterAutospacing="0" w:line="420" w:lineRule="atLeast"/>
        <w:ind w:left="0" w:right="0" w:firstLine="420"/>
        <w:jc w:val="left"/>
      </w:pPr>
      <w:r>
        <w:t>在新型冠状病毒感染的肺炎流行期间，建议选择合适的口罩类型，不过度防护。按防疫工作性质和风险等级提出以下指引：</w:t>
      </w:r>
    </w:p>
    <w:p>
      <w:pPr>
        <w:pStyle w:val="2"/>
        <w:keepNext w:val="0"/>
        <w:keepLines w:val="0"/>
        <w:widowControl/>
        <w:suppressLineNumbers w:val="0"/>
        <w:spacing w:before="0" w:beforeAutospacing="0" w:after="0" w:afterAutospacing="0" w:line="420" w:lineRule="atLeast"/>
        <w:ind w:left="0" w:right="0" w:firstLine="420"/>
        <w:jc w:val="left"/>
      </w:pPr>
      <w:r>
        <w:rPr>
          <w:rStyle w:val="5"/>
        </w:rPr>
        <w:t>一、高风险暴露人员</w:t>
      </w:r>
    </w:p>
    <w:p>
      <w:pPr>
        <w:pStyle w:val="2"/>
        <w:keepNext w:val="0"/>
        <w:keepLines w:val="0"/>
        <w:widowControl/>
        <w:suppressLineNumbers w:val="0"/>
        <w:spacing w:before="0" w:beforeAutospacing="0" w:after="0" w:afterAutospacing="0" w:line="420" w:lineRule="atLeast"/>
        <w:ind w:left="0" w:right="0" w:firstLine="420"/>
        <w:jc w:val="left"/>
      </w:pPr>
      <w:r>
        <w:t>（一）人员类别：</w:t>
      </w:r>
    </w:p>
    <w:p>
      <w:pPr>
        <w:pStyle w:val="2"/>
        <w:keepNext w:val="0"/>
        <w:keepLines w:val="0"/>
        <w:widowControl/>
        <w:suppressLineNumbers w:val="0"/>
        <w:spacing w:before="0" w:beforeAutospacing="0" w:after="0" w:afterAutospacing="0" w:line="420" w:lineRule="atLeast"/>
        <w:ind w:left="0" w:right="0" w:firstLine="420"/>
        <w:jc w:val="left"/>
      </w:pPr>
      <w:r>
        <w:t>1．在收治新型冠状病毒肺炎患者（确诊病例、疑似病例）的病房、ICU和留观室工作的所有工作人员，包括临床医师、护士、护工、清洁工、尸体处理人员等；</w:t>
      </w:r>
    </w:p>
    <w:p>
      <w:pPr>
        <w:pStyle w:val="2"/>
        <w:keepNext w:val="0"/>
        <w:keepLines w:val="0"/>
        <w:widowControl/>
        <w:suppressLineNumbers w:val="0"/>
        <w:spacing w:before="0" w:beforeAutospacing="0" w:after="0" w:afterAutospacing="0" w:line="420" w:lineRule="atLeast"/>
        <w:ind w:left="0" w:right="0" w:firstLine="420"/>
        <w:jc w:val="left"/>
      </w:pPr>
      <w:r>
        <w:t>2．疫区指定医疗机构发热门诊的医生和护士；</w:t>
      </w:r>
    </w:p>
    <w:p>
      <w:pPr>
        <w:pStyle w:val="2"/>
        <w:keepNext w:val="0"/>
        <w:keepLines w:val="0"/>
        <w:widowControl/>
        <w:suppressLineNumbers w:val="0"/>
        <w:spacing w:before="0" w:beforeAutospacing="0" w:after="0" w:afterAutospacing="0" w:line="420" w:lineRule="atLeast"/>
        <w:ind w:left="0" w:right="0" w:firstLine="420"/>
        <w:jc w:val="left"/>
      </w:pPr>
      <w:r>
        <w:t>3．对确诊病例、疑似病例进行流行病学调查的公共卫生医师。</w:t>
      </w:r>
    </w:p>
    <w:p>
      <w:pPr>
        <w:pStyle w:val="2"/>
        <w:keepNext w:val="0"/>
        <w:keepLines w:val="0"/>
        <w:widowControl/>
        <w:suppressLineNumbers w:val="0"/>
        <w:spacing w:before="0" w:beforeAutospacing="0" w:after="0" w:afterAutospacing="0" w:line="420" w:lineRule="atLeast"/>
        <w:ind w:left="0" w:right="0" w:firstLine="420"/>
        <w:jc w:val="left"/>
      </w:pPr>
      <w:r>
        <w:t>（二）防护建议：</w:t>
      </w:r>
    </w:p>
    <w:p>
      <w:pPr>
        <w:pStyle w:val="2"/>
        <w:keepNext w:val="0"/>
        <w:keepLines w:val="0"/>
        <w:widowControl/>
        <w:suppressLineNumbers w:val="0"/>
        <w:spacing w:before="0" w:beforeAutospacing="0" w:after="0" w:afterAutospacing="0" w:line="420" w:lineRule="atLeast"/>
        <w:ind w:left="0" w:right="0" w:firstLine="420"/>
        <w:jc w:val="left"/>
      </w:pPr>
      <w:r>
        <w:t>1．医用防护口罩；</w:t>
      </w:r>
    </w:p>
    <w:p>
      <w:pPr>
        <w:pStyle w:val="2"/>
        <w:keepNext w:val="0"/>
        <w:keepLines w:val="0"/>
        <w:widowControl/>
        <w:suppressLineNumbers w:val="0"/>
        <w:spacing w:before="0" w:beforeAutospacing="0" w:after="0" w:afterAutospacing="0" w:line="420" w:lineRule="atLeast"/>
        <w:ind w:left="0" w:right="0" w:firstLine="420"/>
        <w:jc w:val="left"/>
      </w:pPr>
      <w:r>
        <w:t>2．在感染患者的急救和从事气管插管、气管镜检查时加戴护目镜或防护面屏；</w:t>
      </w:r>
    </w:p>
    <w:p>
      <w:pPr>
        <w:pStyle w:val="2"/>
        <w:keepNext w:val="0"/>
        <w:keepLines w:val="0"/>
        <w:widowControl/>
        <w:suppressLineNumbers w:val="0"/>
        <w:spacing w:before="0" w:beforeAutospacing="0" w:after="0" w:afterAutospacing="0" w:line="420" w:lineRule="atLeast"/>
        <w:ind w:left="0" w:right="0" w:firstLine="420"/>
        <w:jc w:val="left"/>
      </w:pPr>
      <w:r>
        <w:t>3．医用防护口罩短缺时，可选用符合N95/KN95及以上标准颗粒物防护口罩替代，也可选用自吸过滤式呼吸器（全面型或半面型）配防颗粒物的滤棉，动力送风过滤式呼吸器的防护效果更佳。</w:t>
      </w:r>
    </w:p>
    <w:p>
      <w:pPr>
        <w:pStyle w:val="2"/>
        <w:keepNext w:val="0"/>
        <w:keepLines w:val="0"/>
        <w:widowControl/>
        <w:suppressLineNumbers w:val="0"/>
        <w:spacing w:before="0" w:beforeAutospacing="0" w:after="0" w:afterAutospacing="0" w:line="420" w:lineRule="atLeast"/>
        <w:ind w:left="0" w:right="0" w:firstLine="420"/>
        <w:jc w:val="left"/>
      </w:pPr>
      <w:r>
        <w:rPr>
          <w:rStyle w:val="5"/>
        </w:rPr>
        <w:t>二、较高风险暴露人员</w:t>
      </w:r>
    </w:p>
    <w:p>
      <w:pPr>
        <w:pStyle w:val="2"/>
        <w:keepNext w:val="0"/>
        <w:keepLines w:val="0"/>
        <w:widowControl/>
        <w:suppressLineNumbers w:val="0"/>
        <w:spacing w:before="0" w:beforeAutospacing="0" w:after="0" w:afterAutospacing="0" w:line="420" w:lineRule="atLeast"/>
        <w:ind w:left="0" w:right="0" w:firstLine="420"/>
        <w:jc w:val="left"/>
      </w:pPr>
      <w:r>
        <w:t>（一）人员类别：</w:t>
      </w:r>
    </w:p>
    <w:p>
      <w:pPr>
        <w:pStyle w:val="2"/>
        <w:keepNext w:val="0"/>
        <w:keepLines w:val="0"/>
        <w:widowControl/>
        <w:suppressLineNumbers w:val="0"/>
        <w:spacing w:before="0" w:beforeAutospacing="0" w:after="0" w:afterAutospacing="0" w:line="420" w:lineRule="atLeast"/>
        <w:ind w:left="0" w:right="0" w:firstLine="420"/>
        <w:jc w:val="left"/>
      </w:pPr>
      <w:r>
        <w:t>1．急诊科工作医护人员等；</w:t>
      </w:r>
    </w:p>
    <w:p>
      <w:pPr>
        <w:pStyle w:val="2"/>
        <w:keepNext w:val="0"/>
        <w:keepLines w:val="0"/>
        <w:widowControl/>
        <w:suppressLineNumbers w:val="0"/>
        <w:spacing w:before="0" w:beforeAutospacing="0" w:after="0" w:afterAutospacing="0" w:line="420" w:lineRule="atLeast"/>
        <w:ind w:left="0" w:right="0" w:firstLine="420"/>
        <w:jc w:val="left"/>
      </w:pPr>
      <w:r>
        <w:t>2．对密切接触人员开展流行病学调查的公共卫生医师；</w:t>
      </w:r>
    </w:p>
    <w:p>
      <w:pPr>
        <w:pStyle w:val="2"/>
        <w:keepNext w:val="0"/>
        <w:keepLines w:val="0"/>
        <w:widowControl/>
        <w:suppressLineNumbers w:val="0"/>
        <w:spacing w:before="0" w:beforeAutospacing="0" w:after="0" w:afterAutospacing="0" w:line="420" w:lineRule="atLeast"/>
        <w:ind w:left="0" w:right="0" w:firstLine="420"/>
        <w:jc w:val="left"/>
      </w:pPr>
      <w:r>
        <w:t>3．疫情相关的环境和生物样本检测人员。</w:t>
      </w:r>
    </w:p>
    <w:p>
      <w:pPr>
        <w:pStyle w:val="2"/>
        <w:keepNext w:val="0"/>
        <w:keepLines w:val="0"/>
        <w:widowControl/>
        <w:suppressLineNumbers w:val="0"/>
        <w:spacing w:before="0" w:beforeAutospacing="0" w:after="0" w:afterAutospacing="0" w:line="420" w:lineRule="atLeast"/>
        <w:ind w:left="0" w:right="0" w:firstLine="420"/>
        <w:jc w:val="left"/>
      </w:pPr>
      <w:r>
        <w:t>（二）防护建议：</w:t>
      </w:r>
    </w:p>
    <w:p>
      <w:pPr>
        <w:pStyle w:val="2"/>
        <w:keepNext w:val="0"/>
        <w:keepLines w:val="0"/>
        <w:widowControl/>
        <w:suppressLineNumbers w:val="0"/>
        <w:spacing w:before="0" w:beforeAutospacing="0" w:after="0" w:afterAutospacing="0" w:line="420" w:lineRule="atLeast"/>
        <w:ind w:left="0" w:right="0" w:firstLine="420"/>
        <w:jc w:val="left"/>
      </w:pPr>
      <w:r>
        <w:t>符合N95/KN95及以上标准的颗粒物防护口罩；</w:t>
      </w:r>
    </w:p>
    <w:p>
      <w:pPr>
        <w:pStyle w:val="2"/>
        <w:keepNext w:val="0"/>
        <w:keepLines w:val="0"/>
        <w:widowControl/>
        <w:suppressLineNumbers w:val="0"/>
        <w:spacing w:before="0" w:beforeAutospacing="0" w:after="0" w:afterAutospacing="0" w:line="420" w:lineRule="atLeast"/>
        <w:ind w:left="0" w:right="0" w:firstLine="420"/>
        <w:jc w:val="left"/>
      </w:pPr>
      <w:r>
        <w:rPr>
          <w:rStyle w:val="5"/>
        </w:rPr>
        <w:t>三、中等风险暴露人员</w:t>
      </w:r>
    </w:p>
    <w:p>
      <w:pPr>
        <w:pStyle w:val="2"/>
        <w:keepNext w:val="0"/>
        <w:keepLines w:val="0"/>
        <w:widowControl/>
        <w:suppressLineNumbers w:val="0"/>
        <w:spacing w:before="0" w:beforeAutospacing="0" w:after="0" w:afterAutospacing="0" w:line="420" w:lineRule="atLeast"/>
        <w:ind w:left="0" w:right="0" w:firstLine="420"/>
        <w:jc w:val="left"/>
      </w:pPr>
      <w:r>
        <w:t>（一）人员类别：</w:t>
      </w:r>
    </w:p>
    <w:p>
      <w:pPr>
        <w:pStyle w:val="2"/>
        <w:keepNext w:val="0"/>
        <w:keepLines w:val="0"/>
        <w:widowControl/>
        <w:suppressLineNumbers w:val="0"/>
        <w:spacing w:before="0" w:beforeAutospacing="0" w:after="0" w:afterAutospacing="0" w:line="420" w:lineRule="atLeast"/>
        <w:ind w:left="0" w:right="0" w:firstLine="420"/>
        <w:jc w:val="left"/>
      </w:pPr>
      <w:r>
        <w:t>1．普通门诊、病房工作医护人员等；</w:t>
      </w:r>
    </w:p>
    <w:p>
      <w:pPr>
        <w:pStyle w:val="2"/>
        <w:keepNext w:val="0"/>
        <w:keepLines w:val="0"/>
        <w:widowControl/>
        <w:suppressLineNumbers w:val="0"/>
        <w:spacing w:before="0" w:beforeAutospacing="0" w:after="0" w:afterAutospacing="0" w:line="420" w:lineRule="atLeast"/>
        <w:ind w:left="0" w:right="0" w:firstLine="420"/>
        <w:jc w:val="left"/>
      </w:pPr>
      <w:r>
        <w:t>2．人员密集场所的工作人员，包括医院、机场、火车站、地铁、地面公交、飞机、火车、超市、餐厅等相对密闭场所的工作人员；</w:t>
      </w:r>
    </w:p>
    <w:p>
      <w:pPr>
        <w:pStyle w:val="2"/>
        <w:keepNext w:val="0"/>
        <w:keepLines w:val="0"/>
        <w:widowControl/>
        <w:suppressLineNumbers w:val="0"/>
        <w:spacing w:before="0" w:beforeAutospacing="0" w:after="0" w:afterAutospacing="0" w:line="420" w:lineRule="atLeast"/>
        <w:ind w:left="0" w:right="0" w:firstLine="420"/>
        <w:jc w:val="left"/>
      </w:pPr>
      <w:r>
        <w:t>3．从事与疫情相关的行政管理、警察、保安、快递等从业人员；</w:t>
      </w:r>
    </w:p>
    <w:p>
      <w:pPr>
        <w:pStyle w:val="2"/>
        <w:keepNext w:val="0"/>
        <w:keepLines w:val="0"/>
        <w:widowControl/>
        <w:suppressLineNumbers w:val="0"/>
        <w:spacing w:before="0" w:beforeAutospacing="0" w:after="0" w:afterAutospacing="0" w:line="420" w:lineRule="atLeast"/>
        <w:ind w:left="0" w:right="0" w:firstLine="420"/>
        <w:jc w:val="left"/>
      </w:pPr>
      <w:r>
        <w:t>4．居家隔离及与其共同生活人员。</w:t>
      </w:r>
    </w:p>
    <w:p>
      <w:pPr>
        <w:pStyle w:val="2"/>
        <w:keepNext w:val="0"/>
        <w:keepLines w:val="0"/>
        <w:widowControl/>
        <w:suppressLineNumbers w:val="0"/>
        <w:spacing w:before="0" w:beforeAutospacing="0" w:after="0" w:afterAutospacing="0" w:line="420" w:lineRule="atLeast"/>
        <w:ind w:left="0" w:right="0" w:firstLine="420"/>
        <w:jc w:val="left"/>
      </w:pPr>
      <w:r>
        <w:t>（二）防护建议：</w:t>
      </w:r>
    </w:p>
    <w:p>
      <w:pPr>
        <w:pStyle w:val="2"/>
        <w:keepNext w:val="0"/>
        <w:keepLines w:val="0"/>
        <w:widowControl/>
        <w:suppressLineNumbers w:val="0"/>
        <w:spacing w:before="0" w:beforeAutospacing="0" w:after="0" w:afterAutospacing="0" w:line="420" w:lineRule="atLeast"/>
        <w:ind w:left="0" w:right="0" w:firstLine="420"/>
        <w:jc w:val="left"/>
      </w:pPr>
      <w:r>
        <w:t>佩戴医用外科口罩。</w:t>
      </w:r>
    </w:p>
    <w:p>
      <w:pPr>
        <w:pStyle w:val="2"/>
        <w:keepNext w:val="0"/>
        <w:keepLines w:val="0"/>
        <w:widowControl/>
        <w:suppressLineNumbers w:val="0"/>
        <w:spacing w:before="0" w:beforeAutospacing="0" w:after="0" w:afterAutospacing="0" w:line="420" w:lineRule="atLeast"/>
        <w:ind w:left="0" w:right="0" w:firstLine="420"/>
        <w:jc w:val="left"/>
      </w:pPr>
      <w:r>
        <w:rPr>
          <w:rStyle w:val="5"/>
        </w:rPr>
        <w:t>四、较低风险暴露人员</w:t>
      </w:r>
    </w:p>
    <w:p>
      <w:pPr>
        <w:pStyle w:val="2"/>
        <w:keepNext w:val="0"/>
        <w:keepLines w:val="0"/>
        <w:widowControl/>
        <w:suppressLineNumbers w:val="0"/>
        <w:spacing w:before="0" w:beforeAutospacing="0" w:after="0" w:afterAutospacing="0" w:line="420" w:lineRule="atLeast"/>
        <w:ind w:left="0" w:right="0" w:firstLine="420"/>
        <w:jc w:val="left"/>
      </w:pPr>
      <w:r>
        <w:t>（一）人员类别：</w:t>
      </w:r>
    </w:p>
    <w:p>
      <w:pPr>
        <w:pStyle w:val="2"/>
        <w:keepNext w:val="0"/>
        <w:keepLines w:val="0"/>
        <w:widowControl/>
        <w:suppressLineNumbers w:val="0"/>
        <w:spacing w:before="0" w:beforeAutospacing="0" w:after="0" w:afterAutospacing="0" w:line="420" w:lineRule="atLeast"/>
        <w:ind w:left="0" w:right="0" w:firstLine="420"/>
        <w:jc w:val="left"/>
      </w:pPr>
      <w:r>
        <w:t>1．超市、商场、交通工具、电梯等人员密集区的公众；</w:t>
      </w:r>
    </w:p>
    <w:p>
      <w:pPr>
        <w:pStyle w:val="2"/>
        <w:keepNext w:val="0"/>
        <w:keepLines w:val="0"/>
        <w:widowControl/>
        <w:suppressLineNumbers w:val="0"/>
        <w:spacing w:before="0" w:beforeAutospacing="0" w:after="0" w:afterAutospacing="0" w:line="420" w:lineRule="atLeast"/>
        <w:ind w:left="0" w:right="0" w:firstLine="420"/>
        <w:jc w:val="left"/>
      </w:pPr>
      <w:r>
        <w:t>2．室内办公环境；</w:t>
      </w:r>
    </w:p>
    <w:p>
      <w:pPr>
        <w:pStyle w:val="2"/>
        <w:keepNext w:val="0"/>
        <w:keepLines w:val="0"/>
        <w:widowControl/>
        <w:suppressLineNumbers w:val="0"/>
        <w:spacing w:before="0" w:beforeAutospacing="0" w:after="0" w:afterAutospacing="0" w:line="420" w:lineRule="atLeast"/>
        <w:ind w:left="0" w:right="0" w:firstLine="420"/>
        <w:jc w:val="left"/>
      </w:pPr>
      <w:r>
        <w:t>3．医疗机构就诊（除发热门诊）的患者；</w:t>
      </w:r>
    </w:p>
    <w:p>
      <w:pPr>
        <w:pStyle w:val="2"/>
        <w:keepNext w:val="0"/>
        <w:keepLines w:val="0"/>
        <w:widowControl/>
        <w:suppressLineNumbers w:val="0"/>
        <w:spacing w:before="0" w:beforeAutospacing="0" w:after="0" w:afterAutospacing="0" w:line="420" w:lineRule="atLeast"/>
        <w:ind w:left="0" w:right="0" w:firstLine="420"/>
        <w:jc w:val="left"/>
      </w:pPr>
      <w:r>
        <w:t>4．集中学习和活动的托幼机构儿童、在校学生等。</w:t>
      </w:r>
    </w:p>
    <w:p>
      <w:pPr>
        <w:pStyle w:val="2"/>
        <w:keepNext w:val="0"/>
        <w:keepLines w:val="0"/>
        <w:widowControl/>
        <w:suppressLineNumbers w:val="0"/>
        <w:spacing w:before="0" w:beforeAutospacing="0" w:after="0" w:afterAutospacing="0" w:line="420" w:lineRule="atLeast"/>
        <w:ind w:left="0" w:right="0" w:firstLine="420"/>
        <w:jc w:val="left"/>
      </w:pPr>
      <w:r>
        <w:t>（二）防护建议。</w:t>
      </w:r>
    </w:p>
    <w:p>
      <w:pPr>
        <w:pStyle w:val="2"/>
        <w:keepNext w:val="0"/>
        <w:keepLines w:val="0"/>
        <w:widowControl/>
        <w:suppressLineNumbers w:val="0"/>
        <w:spacing w:before="0" w:beforeAutospacing="0" w:after="0" w:afterAutospacing="0" w:line="420" w:lineRule="atLeast"/>
        <w:ind w:left="0" w:right="0" w:firstLine="420"/>
        <w:jc w:val="left"/>
      </w:pPr>
      <w:r>
        <w:t>佩戴一次性使用医用口罩（儿童选用性能相当产品）。　</w:t>
      </w:r>
    </w:p>
    <w:p>
      <w:pPr>
        <w:pStyle w:val="2"/>
        <w:keepNext w:val="0"/>
        <w:keepLines w:val="0"/>
        <w:widowControl/>
        <w:suppressLineNumbers w:val="0"/>
        <w:spacing w:before="0" w:beforeAutospacing="0" w:after="0" w:afterAutospacing="0" w:line="420" w:lineRule="atLeast"/>
        <w:ind w:left="0" w:right="0" w:firstLine="420"/>
        <w:jc w:val="left"/>
      </w:pPr>
      <w:r>
        <w:rPr>
          <w:rStyle w:val="5"/>
        </w:rPr>
        <w:t>五、低风险暴露人员</w:t>
      </w:r>
    </w:p>
    <w:p>
      <w:pPr>
        <w:pStyle w:val="2"/>
        <w:keepNext w:val="0"/>
        <w:keepLines w:val="0"/>
        <w:widowControl/>
        <w:suppressLineNumbers w:val="0"/>
        <w:spacing w:before="0" w:beforeAutospacing="0" w:after="0" w:afterAutospacing="0" w:line="420" w:lineRule="atLeast"/>
        <w:ind w:left="0" w:right="0" w:firstLine="420"/>
        <w:jc w:val="left"/>
      </w:pPr>
      <w:r>
        <w:t>（一）人员类别。</w:t>
      </w:r>
    </w:p>
    <w:p>
      <w:pPr>
        <w:pStyle w:val="2"/>
        <w:keepNext w:val="0"/>
        <w:keepLines w:val="0"/>
        <w:widowControl/>
        <w:suppressLineNumbers w:val="0"/>
        <w:spacing w:before="0" w:beforeAutospacing="0" w:after="0" w:afterAutospacing="0" w:line="420" w:lineRule="atLeast"/>
        <w:ind w:left="0" w:right="0" w:firstLine="420"/>
        <w:jc w:val="left"/>
      </w:pPr>
      <w:r>
        <w:t>1．居家室内活动、散居居民；</w:t>
      </w:r>
    </w:p>
    <w:p>
      <w:pPr>
        <w:pStyle w:val="2"/>
        <w:keepNext w:val="0"/>
        <w:keepLines w:val="0"/>
        <w:widowControl/>
        <w:suppressLineNumbers w:val="0"/>
        <w:spacing w:before="0" w:beforeAutospacing="0" w:after="0" w:afterAutospacing="0" w:line="420" w:lineRule="atLeast"/>
        <w:ind w:left="0" w:right="0" w:firstLine="420"/>
        <w:jc w:val="left"/>
      </w:pPr>
      <w:r>
        <w:t>2．户外活动者，包括空旷场所/场地的儿童、学生；</w:t>
      </w:r>
    </w:p>
    <w:p>
      <w:pPr>
        <w:pStyle w:val="2"/>
        <w:keepNext w:val="0"/>
        <w:keepLines w:val="0"/>
        <w:widowControl/>
        <w:suppressLineNumbers w:val="0"/>
        <w:spacing w:before="0" w:beforeAutospacing="0" w:after="0" w:afterAutospacing="0" w:line="420" w:lineRule="atLeast"/>
        <w:ind w:left="0" w:right="0" w:firstLine="420"/>
        <w:jc w:val="left"/>
      </w:pPr>
      <w:r>
        <w:t>3．通风良好工作场所工作者。</w:t>
      </w:r>
    </w:p>
    <w:p>
      <w:pPr>
        <w:pStyle w:val="2"/>
        <w:keepNext w:val="0"/>
        <w:keepLines w:val="0"/>
        <w:widowControl/>
        <w:suppressLineNumbers w:val="0"/>
        <w:spacing w:before="0" w:beforeAutospacing="0" w:after="0" w:afterAutospacing="0" w:line="420" w:lineRule="atLeast"/>
        <w:ind w:left="0" w:right="0" w:firstLine="420"/>
        <w:jc w:val="left"/>
      </w:pPr>
      <w:r>
        <w:t>（二）防护建议。</w:t>
      </w:r>
    </w:p>
    <w:p>
      <w:pPr>
        <w:pStyle w:val="2"/>
        <w:keepNext w:val="0"/>
        <w:keepLines w:val="0"/>
        <w:widowControl/>
        <w:suppressLineNumbers w:val="0"/>
        <w:spacing w:before="0" w:beforeAutospacing="0" w:after="0" w:afterAutospacing="0" w:line="420" w:lineRule="atLeast"/>
        <w:ind w:left="0" w:right="0" w:firstLine="420"/>
        <w:jc w:val="left"/>
      </w:pPr>
      <w:r>
        <w:t>居家、通风良好和人员密度低的场所也可不佩戴口罩。非医用口罩，如棉纱、活性炭和海绵等口罩具有一定防护效果，也有降低咳嗽、喷嚏和说话等产生的飞沫播散的作用，可视情选用。</w:t>
      </w:r>
    </w:p>
    <w:p>
      <w:pPr>
        <w:pStyle w:val="2"/>
        <w:keepNext w:val="0"/>
        <w:keepLines w:val="0"/>
        <w:widowControl/>
        <w:suppressLineNumbers w:val="0"/>
        <w:spacing w:before="0" w:beforeAutospacing="0" w:after="0" w:afterAutospacing="0" w:line="420" w:lineRule="atLeast"/>
        <w:ind w:left="0" w:right="0" w:firstLine="420"/>
        <w:jc w:val="left"/>
      </w:pPr>
      <w:r>
        <w:rPr>
          <w:rStyle w:val="5"/>
        </w:rPr>
        <w:t>六、使用事项</w:t>
      </w:r>
    </w:p>
    <w:p>
      <w:pPr>
        <w:pStyle w:val="2"/>
        <w:keepNext w:val="0"/>
        <w:keepLines w:val="0"/>
        <w:widowControl/>
        <w:suppressLineNumbers w:val="0"/>
        <w:spacing w:before="0" w:beforeAutospacing="0" w:after="0" w:afterAutospacing="0" w:line="420" w:lineRule="atLeast"/>
        <w:ind w:left="0" w:right="0" w:firstLine="420"/>
        <w:jc w:val="left"/>
      </w:pPr>
      <w:r>
        <w:t>在新型冠状病毒感染的肺炎流行期间，在保障公众健康的前提下，可适当延长口罩使用（使用时间、使用次数）。</w:t>
      </w:r>
    </w:p>
    <w:p>
      <w:pPr>
        <w:pStyle w:val="2"/>
        <w:keepNext w:val="0"/>
        <w:keepLines w:val="0"/>
        <w:widowControl/>
        <w:suppressLineNumbers w:val="0"/>
        <w:spacing w:before="0" w:beforeAutospacing="0" w:after="0" w:afterAutospacing="0" w:line="420" w:lineRule="atLeast"/>
        <w:ind w:left="0" w:right="0" w:firstLine="420"/>
        <w:jc w:val="left"/>
      </w:pPr>
      <w:r>
        <w:t>（一）口罩更换。</w:t>
      </w:r>
    </w:p>
    <w:p>
      <w:pPr>
        <w:pStyle w:val="2"/>
        <w:keepNext w:val="0"/>
        <w:keepLines w:val="0"/>
        <w:widowControl/>
        <w:suppressLineNumbers w:val="0"/>
        <w:spacing w:before="0" w:beforeAutospacing="0" w:after="0" w:afterAutospacing="0" w:line="420" w:lineRule="atLeast"/>
        <w:ind w:left="0" w:right="0" w:firstLine="420"/>
        <w:jc w:val="left"/>
      </w:pPr>
      <w:r>
        <w:t>1．医用标准的防护口罩均有使用期限，口罩专人专用，人员间不能交叉使用。高风险人员在结束工作、中途进餐（饮水）、入厕等脱下防护装置后，重新进入需更换；</w:t>
      </w:r>
    </w:p>
    <w:p>
      <w:pPr>
        <w:pStyle w:val="2"/>
        <w:keepNext w:val="0"/>
        <w:keepLines w:val="0"/>
        <w:widowControl/>
        <w:suppressLineNumbers w:val="0"/>
        <w:spacing w:before="0" w:beforeAutospacing="0" w:after="0" w:afterAutospacing="0" w:line="420" w:lineRule="atLeast"/>
        <w:ind w:left="0" w:right="0" w:firstLine="420"/>
        <w:jc w:val="left"/>
      </w:pPr>
      <w:r>
        <w:t>2．口罩被患者血液、呼吸道/鼻腔分泌物，以及其他体液污染要立即更换；</w:t>
      </w:r>
    </w:p>
    <w:p>
      <w:pPr>
        <w:pStyle w:val="2"/>
        <w:keepNext w:val="0"/>
        <w:keepLines w:val="0"/>
        <w:widowControl/>
        <w:suppressLineNumbers w:val="0"/>
        <w:spacing w:before="0" w:beforeAutospacing="0" w:after="0" w:afterAutospacing="0" w:line="420" w:lineRule="atLeast"/>
        <w:ind w:left="0" w:right="0" w:firstLine="420"/>
        <w:jc w:val="left"/>
      </w:pPr>
      <w:r>
        <w:t>3．较高风险人员在接诊高度疑似患者后需更换；</w:t>
      </w:r>
    </w:p>
    <w:p>
      <w:pPr>
        <w:pStyle w:val="2"/>
        <w:keepNext w:val="0"/>
        <w:keepLines w:val="0"/>
        <w:widowControl/>
        <w:suppressLineNumbers w:val="0"/>
        <w:spacing w:before="0" w:beforeAutospacing="0" w:after="0" w:afterAutospacing="0" w:line="420" w:lineRule="atLeast"/>
        <w:ind w:left="0" w:right="0" w:firstLine="420"/>
        <w:jc w:val="left"/>
      </w:pPr>
      <w:r>
        <w:t>4．其他风险类别暴露人员佩戴的口罩可反复多次使用。口罩佩戴前按规程洗手，佩戴时避免接触口罩内侧。口罩脏污、变形、损坏、有异味时需及时更换。</w:t>
      </w:r>
    </w:p>
    <w:p>
      <w:pPr>
        <w:pStyle w:val="2"/>
        <w:keepNext w:val="0"/>
        <w:keepLines w:val="0"/>
        <w:widowControl/>
        <w:suppressLineNumbers w:val="0"/>
        <w:spacing w:before="0" w:beforeAutospacing="0" w:after="0" w:afterAutospacing="0" w:line="420" w:lineRule="atLeast"/>
        <w:ind w:left="0" w:right="0" w:firstLine="420"/>
        <w:jc w:val="left"/>
      </w:pPr>
      <w:r>
        <w:t>（二）口罩保存、清洗和消毒。</w:t>
      </w:r>
    </w:p>
    <w:p>
      <w:pPr>
        <w:pStyle w:val="2"/>
        <w:keepNext w:val="0"/>
        <w:keepLines w:val="0"/>
        <w:widowControl/>
        <w:suppressLineNumbers w:val="0"/>
        <w:spacing w:before="0" w:beforeAutospacing="0" w:after="0" w:afterAutospacing="0" w:line="420" w:lineRule="atLeast"/>
        <w:ind w:left="0" w:right="0" w:firstLine="420"/>
        <w:jc w:val="left"/>
      </w:pPr>
      <w:r>
        <w:t>1．如需再次使用的口罩，可悬挂在洁净、干燥通风处，或将其放置在清洁、透气的纸袋中。口罩需单独存放，避免彼此接触，并标识口罩使用人员;</w:t>
      </w:r>
    </w:p>
    <w:p>
      <w:pPr>
        <w:pStyle w:val="2"/>
        <w:keepNext w:val="0"/>
        <w:keepLines w:val="0"/>
        <w:widowControl/>
        <w:suppressLineNumbers w:val="0"/>
        <w:spacing w:before="0" w:beforeAutospacing="0" w:after="0" w:afterAutospacing="0" w:line="420" w:lineRule="atLeast"/>
        <w:ind w:left="0" w:right="0" w:firstLine="420"/>
        <w:jc w:val="left"/>
      </w:pPr>
      <w:r>
        <w:t>2．医用标准防护口罩不能清洗，也不可使用消毒剂、加热等方法进行消毒;</w:t>
      </w:r>
    </w:p>
    <w:p>
      <w:pPr>
        <w:pStyle w:val="2"/>
        <w:keepNext w:val="0"/>
        <w:keepLines w:val="0"/>
        <w:widowControl/>
        <w:suppressLineNumbers w:val="0"/>
        <w:spacing w:before="0" w:beforeAutospacing="0" w:after="0" w:afterAutospacing="0" w:line="420" w:lineRule="atLeast"/>
        <w:ind w:left="0" w:right="0" w:firstLine="420"/>
        <w:jc w:val="left"/>
      </w:pPr>
      <w:r>
        <w:t>3．自吸过滤式呼吸器（全面型或半面型）和动力送风过滤式呼吸器的清洗参照说明书进行;</w:t>
      </w:r>
    </w:p>
    <w:p>
      <w:pPr>
        <w:pStyle w:val="2"/>
        <w:keepNext w:val="0"/>
        <w:keepLines w:val="0"/>
        <w:widowControl/>
        <w:suppressLineNumbers w:val="0"/>
        <w:spacing w:before="0" w:beforeAutospacing="0" w:after="0" w:afterAutospacing="0" w:line="420" w:lineRule="atLeast"/>
        <w:ind w:left="0" w:right="0" w:firstLine="420"/>
        <w:jc w:val="left"/>
      </w:pPr>
      <w:r>
        <w:t>4．棉纱口罩可清洗消毒，其他非医用口罩按说明书处理。</w:t>
      </w:r>
    </w:p>
    <w:p>
      <w:pPr>
        <w:pStyle w:val="2"/>
        <w:keepNext w:val="0"/>
        <w:keepLines w:val="0"/>
        <w:widowControl/>
        <w:suppressLineNumbers w:val="0"/>
        <w:spacing w:before="0" w:beforeAutospacing="0" w:after="0" w:afterAutospacing="0" w:line="420" w:lineRule="atLeast"/>
        <w:ind w:left="0" w:right="0" w:firstLine="420"/>
        <w:jc w:val="left"/>
      </w:pPr>
      <w:r>
        <w:t>附表：口罩类型及推荐使用人群</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附表</w:t>
      </w:r>
    </w:p>
    <w:p>
      <w:pPr>
        <w:pStyle w:val="2"/>
        <w:keepNext w:val="0"/>
        <w:keepLines w:val="0"/>
        <w:widowControl/>
        <w:suppressLineNumbers w:val="0"/>
        <w:spacing w:before="0" w:beforeAutospacing="0" w:after="0" w:afterAutospacing="0" w:line="420" w:lineRule="atLeast"/>
        <w:ind w:left="0" w:right="0"/>
        <w:jc w:val="center"/>
      </w:pPr>
      <w:r>
        <w:rPr>
          <w:rStyle w:val="5"/>
        </w:rPr>
        <w:t>口罩类型及推荐使用人群</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0"/>
        <w:gridCol w:w="3209"/>
        <w:gridCol w:w="1793"/>
        <w:gridCol w:w="1848"/>
        <w:gridCol w:w="1864"/>
        <w:gridCol w:w="1668"/>
        <w:gridCol w:w="1608"/>
        <w:gridCol w:w="17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75" w:hRule="atLeast"/>
          <w:jc w:val="center"/>
        </w:trPr>
        <w:tc>
          <w:tcPr>
            <w:tcW w:w="424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Times New Roman" w:hAnsi="Times New Roman" w:cs="Times New Roman"/>
                <w:color w:val="484848"/>
                <w:sz w:val="19"/>
                <w:szCs w:val="19"/>
                <w:bdr w:val="none" w:color="auto" w:sz="0" w:space="0"/>
              </w:rPr>
              <w:t>人群及场景</w:t>
            </w:r>
          </w:p>
        </w:tc>
        <w:tc>
          <w:tcPr>
            <w:tcW w:w="18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Times New Roman" w:hAnsi="Times New Roman" w:cs="Times New Roman"/>
                <w:color w:val="484848"/>
                <w:sz w:val="19"/>
                <w:szCs w:val="19"/>
                <w:bdr w:val="none" w:color="auto" w:sz="0" w:space="0"/>
              </w:rPr>
              <w:t>可不带或普通口罩</w:t>
            </w:r>
          </w:p>
          <w:tbl>
            <w:tblPr>
              <w:tblW w:w="0" w:type="auto"/>
              <w:tblInd w:w="0" w:type="dxa"/>
              <w:shd w:val="clear"/>
              <w:tblLayout w:type="autofit"/>
              <w:tblCellMar>
                <w:top w:w="15" w:type="dxa"/>
                <w:left w:w="15" w:type="dxa"/>
                <w:bottom w:w="15" w:type="dxa"/>
                <w:right w:w="15" w:type="dxa"/>
              </w:tblCellMar>
            </w:tblPr>
            <w:tblGrid>
              <w:gridCol w:w="221"/>
              <w:gridCol w:w="1362"/>
            </w:tblGrid>
            <w:tr>
              <w:tblPrEx>
                <w:shd w:val="clear"/>
                <w:tblCellMar>
                  <w:top w:w="15" w:type="dxa"/>
                  <w:left w:w="15" w:type="dxa"/>
                  <w:bottom w:w="15" w:type="dxa"/>
                  <w:right w:w="15" w:type="dxa"/>
                </w:tblCellMar>
              </w:tblPrEx>
              <w:tc>
                <w:tcPr>
                  <w:tcW w:w="27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27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ascii="微软雅黑" w:hAnsi="微软雅黑" w:eastAsia="微软雅黑" w:cs="微软雅黑"/>
                      <w:color w:val="484848"/>
                      <w:sz w:val="24"/>
                      <w:szCs w:val="24"/>
                      <w:bdr w:val="none" w:color="auto" w:sz="0" w:space="0"/>
                    </w:rPr>
                    <w:drawing>
                      <wp:inline distT="0" distB="0" distL="114300" distR="114300">
                        <wp:extent cx="809625" cy="80962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809625" cy="809625"/>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bdr w:val="none" w:color="auto" w:sz="0" w:space="0"/>
              </w:rPr>
              <w:t> </w:t>
            </w:r>
          </w:p>
        </w:tc>
        <w:tc>
          <w:tcPr>
            <w:tcW w:w="18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tbl>
            <w:tblPr>
              <w:tblW w:w="0" w:type="auto"/>
              <w:tblInd w:w="0" w:type="dxa"/>
              <w:shd w:val="clear"/>
              <w:tblLayout w:type="autofit"/>
              <w:tblCellMar>
                <w:top w:w="15" w:type="dxa"/>
                <w:left w:w="15" w:type="dxa"/>
                <w:bottom w:w="15" w:type="dxa"/>
                <w:right w:w="15" w:type="dxa"/>
              </w:tblCellMar>
            </w:tblPr>
            <w:tblGrid>
              <w:gridCol w:w="6"/>
              <w:gridCol w:w="1632"/>
            </w:tblGrid>
            <w:tr>
              <w:tblPrEx>
                <w:shd w:val="clear"/>
                <w:tblCellMar>
                  <w:top w:w="15" w:type="dxa"/>
                  <w:left w:w="15" w:type="dxa"/>
                  <w:bottom w:w="15" w:type="dxa"/>
                  <w:right w:w="15" w:type="dxa"/>
                </w:tblCellMar>
              </w:tblPrEx>
              <w:tc>
                <w:tcPr>
                  <w:tcW w:w="13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13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微软雅黑" w:hAnsi="微软雅黑" w:eastAsia="微软雅黑" w:cs="微软雅黑"/>
                      <w:color w:val="484848"/>
                      <w:sz w:val="24"/>
                      <w:szCs w:val="24"/>
                      <w:bdr w:val="none" w:color="auto" w:sz="0" w:space="0"/>
                    </w:rPr>
                    <w:drawing>
                      <wp:inline distT="0" distB="0" distL="114300" distR="114300">
                        <wp:extent cx="981075" cy="762000"/>
                        <wp:effectExtent l="0" t="0" r="9525"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981075" cy="762000"/>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default" w:ascii="Times New Roman" w:hAnsi="Times New Roman" w:cs="Times New Roman"/>
                <w:color w:val="484848"/>
                <w:sz w:val="19"/>
                <w:szCs w:val="19"/>
                <w:bdr w:val="none" w:color="auto" w:sz="0" w:space="0"/>
              </w:rPr>
              <w:t>一次性使用医用口罩（</w:t>
            </w:r>
            <w:r>
              <w:rPr>
                <w:rFonts w:hint="default" w:ascii="Times New Roman" w:hAnsi="Times New Roman" w:cs="Times New Roman"/>
                <w:sz w:val="19"/>
                <w:szCs w:val="19"/>
                <w:bdr w:val="none" w:color="auto" w:sz="0" w:space="0"/>
              </w:rPr>
              <w:t>YY/T 0969</w:t>
            </w:r>
            <w:r>
              <w:rPr>
                <w:rFonts w:hint="default" w:ascii="Times New Roman" w:hAnsi="Times New Roman" w:cs="Times New Roman"/>
                <w:color w:val="484848"/>
                <w:sz w:val="19"/>
                <w:szCs w:val="19"/>
                <w:bdr w:val="none" w:color="auto" w:sz="0" w:space="0"/>
              </w:rPr>
              <w:t>）</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Times New Roman" w:hAnsi="Times New Roman" w:cs="Times New Roman"/>
                <w:color w:val="484848"/>
                <w:sz w:val="19"/>
                <w:szCs w:val="19"/>
                <w:bdr w:val="none" w:color="auto" w:sz="0" w:space="0"/>
              </w:rPr>
              <w:t>医用外科口罩（</w:t>
            </w:r>
            <w:r>
              <w:rPr>
                <w:rFonts w:hint="default" w:ascii="Times New Roman" w:hAnsi="Times New Roman" w:cs="Times New Roman"/>
                <w:sz w:val="19"/>
                <w:szCs w:val="19"/>
                <w:bdr w:val="none" w:color="auto" w:sz="0" w:space="0"/>
              </w:rPr>
              <w:t>YY 0469</w:t>
            </w:r>
            <w:r>
              <w:rPr>
                <w:rFonts w:hint="default" w:ascii="Times New Roman" w:hAnsi="Times New Roman" w:cs="Times New Roman"/>
                <w:color w:val="484848"/>
                <w:sz w:val="19"/>
                <w:szCs w:val="19"/>
                <w:bdr w:val="none" w:color="auto" w:sz="0" w:space="0"/>
              </w:rPr>
              <w:t>）</w:t>
            </w:r>
          </w:p>
          <w:tbl>
            <w:tblPr>
              <w:tblW w:w="0" w:type="auto"/>
              <w:tblInd w:w="0" w:type="dxa"/>
              <w:shd w:val="clear"/>
              <w:tblLayout w:type="autofit"/>
              <w:tblCellMar>
                <w:top w:w="15" w:type="dxa"/>
                <w:left w:w="15" w:type="dxa"/>
                <w:bottom w:w="15" w:type="dxa"/>
                <w:right w:w="15" w:type="dxa"/>
              </w:tblCellMar>
            </w:tblPr>
            <w:tblGrid>
              <w:gridCol w:w="52"/>
              <w:gridCol w:w="1602"/>
            </w:tblGrid>
            <w:tr>
              <w:tblPrEx>
                <w:shd w:val="clear"/>
                <w:tblCellMar>
                  <w:top w:w="15" w:type="dxa"/>
                  <w:left w:w="15" w:type="dxa"/>
                  <w:bottom w:w="15" w:type="dxa"/>
                  <w:right w:w="15" w:type="dxa"/>
                </w:tblCellMar>
              </w:tblPrEx>
              <w:tc>
                <w:tcPr>
                  <w:tcW w:w="36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36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微软雅黑" w:hAnsi="微软雅黑" w:eastAsia="微软雅黑" w:cs="微软雅黑"/>
                      <w:color w:val="484848"/>
                      <w:sz w:val="24"/>
                      <w:szCs w:val="24"/>
                      <w:bdr w:val="none" w:color="auto" w:sz="0" w:space="0"/>
                    </w:rPr>
                    <w:drawing>
                      <wp:inline distT="0" distB="0" distL="114300" distR="114300">
                        <wp:extent cx="962025" cy="78105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962025" cy="781050"/>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bdr w:val="none" w:color="auto" w:sz="0" w:space="0"/>
              </w:rPr>
              <w:t> </w:t>
            </w:r>
          </w:p>
        </w:tc>
        <w:tc>
          <w:tcPr>
            <w:tcW w:w="15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tbl>
            <w:tblPr>
              <w:tblW w:w="0" w:type="auto"/>
              <w:tblInd w:w="0" w:type="dxa"/>
              <w:shd w:val="clear"/>
              <w:tblLayout w:type="autofit"/>
              <w:tblCellMar>
                <w:top w:w="15" w:type="dxa"/>
                <w:left w:w="15" w:type="dxa"/>
                <w:bottom w:w="15" w:type="dxa"/>
                <w:right w:w="15" w:type="dxa"/>
              </w:tblCellMar>
            </w:tblPr>
            <w:tblGrid>
              <w:gridCol w:w="6"/>
              <w:gridCol w:w="1452"/>
            </w:tblGrid>
            <w:tr>
              <w:tblPrEx>
                <w:shd w:val="clear"/>
                <w:tblCellMar>
                  <w:top w:w="15" w:type="dxa"/>
                  <w:left w:w="15" w:type="dxa"/>
                  <w:bottom w:w="15" w:type="dxa"/>
                  <w:right w:w="15" w:type="dxa"/>
                </w:tblCellMar>
              </w:tblPrEx>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微软雅黑" w:hAnsi="微软雅黑" w:eastAsia="微软雅黑" w:cs="微软雅黑"/>
                      <w:color w:val="484848"/>
                      <w:sz w:val="24"/>
                      <w:szCs w:val="24"/>
                      <w:bdr w:val="none" w:color="auto" w:sz="0" w:space="0"/>
                    </w:rPr>
                    <w:drawing>
                      <wp:inline distT="0" distB="0" distL="114300" distR="114300">
                        <wp:extent cx="866775" cy="8382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866775" cy="838200"/>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default" w:ascii="Times New Roman" w:hAnsi="Times New Roman" w:cs="Times New Roman"/>
                <w:color w:val="484848"/>
                <w:sz w:val="19"/>
                <w:szCs w:val="19"/>
                <w:bdr w:val="none" w:color="auto" w:sz="0" w:space="0"/>
              </w:rPr>
              <w:t>颗粒物防护口罩（GB 2626</w:t>
            </w:r>
            <w:r>
              <w:rPr>
                <w:rFonts w:ascii="华文仿宋" w:hAnsi="华文仿宋" w:eastAsia="华文仿宋" w:cs="华文仿宋"/>
                <w:color w:val="484848"/>
                <w:sz w:val="19"/>
                <w:szCs w:val="19"/>
                <w:bdr w:val="none" w:color="auto" w:sz="0" w:space="0"/>
              </w:rPr>
              <w:t>）</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Times New Roman" w:hAnsi="Times New Roman" w:cs="Times New Roman"/>
                <w:color w:val="484848"/>
                <w:sz w:val="19"/>
                <w:szCs w:val="19"/>
                <w:bdr w:val="none" w:color="auto" w:sz="0" w:space="0"/>
              </w:rPr>
              <w:t>医用防护口罩（</w:t>
            </w:r>
            <w:r>
              <w:rPr>
                <w:rFonts w:hint="default" w:ascii="Times New Roman" w:hAnsi="Times New Roman" w:cs="Times New Roman"/>
                <w:sz w:val="19"/>
                <w:szCs w:val="19"/>
                <w:bdr w:val="none" w:color="auto" w:sz="0" w:space="0"/>
              </w:rPr>
              <w:t>GB 19083</w:t>
            </w:r>
            <w:r>
              <w:rPr>
                <w:rFonts w:hint="default" w:ascii="Times New Roman" w:hAnsi="Times New Roman" w:cs="Times New Roman"/>
                <w:color w:val="484848"/>
                <w:sz w:val="19"/>
                <w:szCs w:val="19"/>
                <w:bdr w:val="none" w:color="auto" w:sz="0" w:space="0"/>
              </w:rPr>
              <w:t>）</w:t>
            </w:r>
          </w:p>
          <w:tbl>
            <w:tblPr>
              <w:tblW w:w="0" w:type="auto"/>
              <w:tblInd w:w="0" w:type="dxa"/>
              <w:shd w:val="clear"/>
              <w:tblLayout w:type="autofit"/>
              <w:tblCellMar>
                <w:top w:w="15" w:type="dxa"/>
                <w:left w:w="15" w:type="dxa"/>
                <w:bottom w:w="15" w:type="dxa"/>
                <w:right w:w="15" w:type="dxa"/>
              </w:tblCellMar>
            </w:tblPr>
            <w:tblGrid>
              <w:gridCol w:w="6"/>
              <w:gridCol w:w="1392"/>
            </w:tblGrid>
            <w:tr>
              <w:tblPrEx>
                <w:shd w:val="clear"/>
                <w:tblCellMar>
                  <w:top w:w="15" w:type="dxa"/>
                  <w:left w:w="15" w:type="dxa"/>
                  <w:bottom w:w="15" w:type="dxa"/>
                  <w:right w:w="15" w:type="dxa"/>
                </w:tblCellMar>
              </w:tblPrEx>
              <w:tc>
                <w:tcPr>
                  <w:tcW w:w="4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45"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微软雅黑" w:hAnsi="微软雅黑" w:eastAsia="微软雅黑" w:cs="微软雅黑"/>
                      <w:color w:val="484848"/>
                      <w:sz w:val="24"/>
                      <w:szCs w:val="24"/>
                      <w:bdr w:val="none" w:color="auto" w:sz="0" w:space="0"/>
                    </w:rPr>
                    <w:drawing>
                      <wp:inline distT="0" distB="0" distL="114300" distR="114300">
                        <wp:extent cx="838200" cy="78105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838200" cy="781050"/>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sz w:val="21"/>
                <w:szCs w:val="21"/>
                <w:bdr w:val="none" w:color="auto" w:sz="0" w:space="0"/>
              </w:rPr>
              <w:t> </w:t>
            </w:r>
          </w:p>
        </w:tc>
        <w:tc>
          <w:tcPr>
            <w:tcW w:w="14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Times New Roman" w:hAnsi="Times New Roman" w:cs="Times New Roman"/>
                <w:color w:val="484848"/>
                <w:sz w:val="19"/>
                <w:szCs w:val="19"/>
                <w:bdr w:val="none" w:color="auto" w:sz="0" w:space="0"/>
              </w:rPr>
              <w:t>防护面具</w:t>
            </w:r>
          </w:p>
          <w:tbl>
            <w:tblPr>
              <w:tblW w:w="0" w:type="auto"/>
              <w:tblInd w:w="0" w:type="dxa"/>
              <w:shd w:val="clear"/>
              <w:tblLayout w:type="autofit"/>
              <w:tblCellMar>
                <w:top w:w="15" w:type="dxa"/>
                <w:left w:w="15" w:type="dxa"/>
                <w:bottom w:w="15" w:type="dxa"/>
                <w:right w:w="15" w:type="dxa"/>
              </w:tblCellMar>
            </w:tblPr>
            <w:tblGrid>
              <w:gridCol w:w="6"/>
              <w:gridCol w:w="1512"/>
            </w:tblGrid>
            <w:tr>
              <w:tblPrEx>
                <w:shd w:val="clear"/>
                <w:tblCellMar>
                  <w:top w:w="15" w:type="dxa"/>
                  <w:left w:w="15" w:type="dxa"/>
                  <w:bottom w:w="15" w:type="dxa"/>
                  <w:right w:w="15" w:type="dxa"/>
                </w:tblCellMar>
              </w:tblPrEx>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微软雅黑" w:hAnsi="微软雅黑" w:eastAsia="微软雅黑" w:cs="微软雅黑"/>
                      <w:color w:val="484848"/>
                      <w:sz w:val="24"/>
                      <w:szCs w:val="24"/>
                      <w:bdr w:val="none" w:color="auto" w:sz="0" w:space="0"/>
                    </w:rPr>
                    <w:drawing>
                      <wp:inline distT="0" distB="0" distL="114300" distR="114300">
                        <wp:extent cx="904875" cy="7905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904875" cy="790575"/>
                                </a:xfrm>
                                <a:prstGeom prst="rect">
                                  <a:avLst/>
                                </a:prstGeom>
                                <a:noFill/>
                                <a:ln w="9525">
                                  <a:noFill/>
                                </a:ln>
                              </pic:spPr>
                            </pic:pic>
                          </a:graphicData>
                        </a:graphic>
                      </wp:inline>
                    </w:drawing>
                  </w:r>
                  <w:r>
                    <w:rPr>
                      <w:rFonts w:hint="eastAsia" w:ascii="微软雅黑" w:hAnsi="微软雅黑" w:eastAsia="微软雅黑" w:cs="微软雅黑"/>
                      <w:color w:val="484848"/>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default" w:ascii="Times New Roman" w:hAnsi="Times New Roman" w:cs="Times New Roman"/>
                <w:color w:val="484848"/>
                <w:sz w:val="13"/>
                <w:szCs w:val="13"/>
                <w:bdr w:val="none" w:color="auto" w:sz="0" w:space="0"/>
              </w:rPr>
              <w:t>(</w:t>
            </w:r>
            <w:r>
              <w:rPr>
                <w:rFonts w:hint="eastAsia" w:ascii="华文仿宋" w:hAnsi="华文仿宋" w:eastAsia="华文仿宋" w:cs="华文仿宋"/>
                <w:color w:val="484848"/>
                <w:sz w:val="13"/>
                <w:szCs w:val="13"/>
                <w:bdr w:val="none" w:color="auto" w:sz="0" w:space="0"/>
              </w:rPr>
              <w:t>加</w:t>
            </w:r>
            <w:r>
              <w:rPr>
                <w:rFonts w:hint="default" w:ascii="Times New Roman" w:hAnsi="Times New Roman" w:cs="Times New Roman"/>
                <w:color w:val="484848"/>
                <w:sz w:val="13"/>
                <w:szCs w:val="13"/>
                <w:bdr w:val="none" w:color="auto" w:sz="0" w:space="0"/>
              </w:rPr>
              <w:t>P100</w:t>
            </w:r>
            <w:r>
              <w:rPr>
                <w:rFonts w:hint="eastAsia" w:ascii="华文仿宋" w:hAnsi="华文仿宋" w:eastAsia="华文仿宋" w:cs="华文仿宋"/>
                <w:color w:val="484848"/>
                <w:sz w:val="13"/>
                <w:szCs w:val="13"/>
                <w:bdr w:val="none" w:color="auto" w:sz="0" w:space="0"/>
              </w:rPr>
              <w:t>滤棉</w:t>
            </w:r>
            <w:r>
              <w:rPr>
                <w:rFonts w:hint="default" w:ascii="Times New Roman" w:hAnsi="Times New Roman" w:cs="Times New Roman"/>
                <w:color w:val="484848"/>
                <w:sz w:val="13"/>
                <w:szCs w:val="13"/>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高风险</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疫区发热门诊</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ascii="MS Mincho" w:hAnsi="MS Mincho" w:eastAsia="MS Mincho" w:cs="MS Mincho"/>
                <w:color w:val="484848"/>
                <w:sz w:val="36"/>
                <w:szCs w:val="36"/>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ascii="Cambria Math" w:hAnsi="Cambria Math" w:eastAsia="Cambria Math" w:cs="Cambria Math"/>
                <w:color w:val="484848"/>
                <w:sz w:val="19"/>
                <w:szCs w:val="19"/>
                <w:bdr w:val="none" w:color="auto" w:sz="0" w:space="0"/>
              </w:rPr>
              <w:t>⃝</w:t>
            </w:r>
          </w:p>
        </w:tc>
        <w:tc>
          <w:tcPr>
            <w:tcW w:w="14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sz w:val="24"/>
                <w:szCs w:val="24"/>
                <w:bdr w:val="none" w:color="auto" w:sz="0" w:space="0"/>
              </w:rPr>
              <w:t>隔离病房</w:t>
            </w:r>
            <w:r>
              <w:rPr>
                <w:rFonts w:hint="default" w:ascii="Times New Roman" w:hAnsi="Times New Roman" w:cs="Times New Roman"/>
                <w:color w:val="484848"/>
                <w:sz w:val="24"/>
                <w:szCs w:val="24"/>
                <w:bdr w:val="none" w:color="auto" w:sz="0" w:space="0"/>
              </w:rPr>
              <w:t>医护人员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插管、切开等高危医务工作者</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sz w:val="24"/>
                <w:szCs w:val="24"/>
                <w:bdr w:val="none" w:color="auto" w:sz="0" w:space="0"/>
              </w:rPr>
              <w:t>隔离</w:t>
            </w:r>
            <w:r>
              <w:rPr>
                <w:rFonts w:hint="eastAsia" w:ascii="华文仿宋" w:hAnsi="华文仿宋" w:eastAsia="华文仿宋" w:cs="华文仿宋"/>
                <w:sz w:val="24"/>
                <w:szCs w:val="24"/>
                <w:bdr w:val="none" w:color="auto" w:sz="0" w:space="0"/>
              </w:rPr>
              <w:t>区</w:t>
            </w:r>
            <w:r>
              <w:rPr>
                <w:rFonts w:hint="default" w:ascii="Times New Roman" w:hAnsi="Times New Roman" w:cs="Times New Roman"/>
                <w:sz w:val="24"/>
                <w:szCs w:val="24"/>
                <w:bdr w:val="none" w:color="auto" w:sz="0" w:space="0"/>
              </w:rPr>
              <w:t>服务人员（清洁、尸体处置等）</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对确诊、疑似现场流行病学调查人员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较</w:t>
            </w:r>
            <w:r>
              <w:rPr>
                <w:rFonts w:hint="default" w:ascii="Times New Roman" w:hAnsi="Times New Roman" w:cs="Times New Roman"/>
                <w:sz w:val="24"/>
                <w:szCs w:val="24"/>
                <w:bdr w:val="none" w:color="auto" w:sz="0" w:space="0"/>
              </w:rPr>
              <w:t>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sz w:val="24"/>
                <w:szCs w:val="24"/>
                <w:bdr w:val="none" w:color="auto" w:sz="0" w:space="0"/>
              </w:rPr>
              <w:t>风险</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急诊工作医护人员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对密切接触人员开展流行病学调查人员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对疫情相关样本进行检测人员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sz w:val="24"/>
                <w:szCs w:val="24"/>
                <w:bdr w:val="none" w:color="auto" w:sz="0" w:space="0"/>
              </w:rPr>
              <w:t>中等风险</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普通门诊、病房工作医护人员等</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人员密集区的工作人员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9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从事与疫情相关的行政管理、警察、保安、快递等从业人员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居家隔离及与其共同生活人员</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MS Mincho" w:hAnsi="MS Mincho" w:eastAsia="MS Mincho" w:cs="MS Mincho"/>
                <w:color w:val="484848"/>
                <w:sz w:val="36"/>
                <w:szCs w:val="36"/>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sz w:val="24"/>
                <w:szCs w:val="24"/>
                <w:bdr w:val="none" w:color="auto" w:sz="0" w:space="0"/>
              </w:rPr>
              <w:t>较低风险</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在人员密集场所滞留的公众</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人员相对聚集的室内工作环境</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前往医疗机构就诊的公众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sz w:val="21"/>
                <w:szCs w:val="21"/>
                <w:bdr w:val="none" w:color="auto" w:sz="0" w:space="0"/>
              </w:rPr>
              <w:t> </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集中学习和活动的托幼机构儿童、在校学生等。</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低风险</w:t>
            </w: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居家活动、散居居民</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户外活动者</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42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cs="Times New Roman"/>
                <w:color w:val="484848"/>
                <w:sz w:val="24"/>
                <w:szCs w:val="24"/>
                <w:bdr w:val="none" w:color="auto" w:sz="0" w:space="0"/>
              </w:rPr>
              <w:t>通风良好场所的工作者、儿童和学生等</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hint="default" w:ascii="Cambria Math" w:hAnsi="Cambria Math" w:eastAsia="Cambria Math" w:cs="Cambria Math"/>
                <w:color w:val="484848"/>
                <w:sz w:val="19"/>
                <w:szCs w:val="19"/>
                <w:bdr w:val="none" w:color="auto" w:sz="0" w:space="0"/>
              </w:rPr>
              <w:t>⃝</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420" w:lineRule="atLeast"/>
        <w:ind w:left="0" w:right="0"/>
        <w:jc w:val="cente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B7A74"/>
    <w:rsid w:val="2D0B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2020-02-18T12:13:00Z</dcterms:created>
  <dc:creator>溪云再起</dc:creator>
  <cp:lastModifiedBy>溪云再起</cp:lastModifiedBy>
  <dcterms:modified xsi:type="dcterms:W3CDTF">2020-02-18T12:13:49Z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