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0" w:lineRule="auto"/>
        <w:ind w:left="0" w:right="0" w:firstLine="420"/>
        <w:rPr>
          <w:rFonts w:hint="eastAsia" w:ascii="宋体" w:hAnsi="宋体" w:eastAsia="宋体" w:cs="宋体"/>
          <w:sz w:val="16"/>
          <w:szCs w:val="16"/>
        </w:rPr>
      </w:pPr>
      <w:bookmarkStart w:id="0" w:name="_GoBack"/>
    </w:p>
    <w:bookmarkEnd w:id="0"/>
    <w:p>
      <w:pPr>
        <w:pStyle w:val="2"/>
        <w:keepNext w:val="0"/>
        <w:keepLines w:val="0"/>
        <w:widowControl/>
        <w:suppressLineNumbers w:val="0"/>
        <w:spacing w:before="0" w:beforeAutospacing="0" w:after="0" w:afterAutospacing="0" w:line="240" w:lineRule="auto"/>
        <w:ind w:left="0" w:right="0" w:firstLine="420"/>
        <w:rPr>
          <w:rFonts w:hint="eastAsia" w:ascii="宋体" w:hAnsi="宋体" w:eastAsia="宋体" w:cs="宋体"/>
          <w:sz w:val="16"/>
          <w:szCs w:val="16"/>
        </w:rPr>
      </w:pPr>
    </w:p>
    <w:p>
      <w:pPr>
        <w:pStyle w:val="2"/>
        <w:keepNext w:val="0"/>
        <w:keepLines w:val="0"/>
        <w:widowControl/>
        <w:suppressLineNumbers w:val="0"/>
        <w:spacing w:before="0" w:beforeAutospacing="0" w:after="0" w:afterAutospacing="0" w:line="350" w:lineRule="atLeast"/>
        <w:ind w:left="0" w:right="0" w:firstLine="480"/>
        <w:jc w:val="center"/>
        <w:rPr>
          <w:rFonts w:hint="default" w:ascii="Times New Roman" w:hAnsi="Times New Roman" w:cs="Times New Roman"/>
          <w:sz w:val="32"/>
          <w:szCs w:val="32"/>
        </w:rPr>
      </w:pPr>
      <w:r>
        <w:rPr>
          <w:rFonts w:ascii="方正小标宋简体" w:hAnsi="方正小标宋简体" w:eastAsia="方正小标宋简体" w:cs="方正小标宋简体"/>
          <w:sz w:val="32"/>
          <w:szCs w:val="32"/>
        </w:rPr>
        <w:t>各区推动落实医疗卫生行业综合监管制度情况汇总表</w:t>
      </w:r>
    </w:p>
    <w:tbl>
      <w:tblPr>
        <w:tblW w:w="8251" w:type="dxa"/>
        <w:jc w:val="center"/>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50" w:type="dxa"/>
          <w:left w:w="100" w:type="dxa"/>
          <w:bottom w:w="50" w:type="dxa"/>
          <w:right w:w="100" w:type="dxa"/>
        </w:tblCellMar>
      </w:tblPr>
      <w:tblGrid>
        <w:gridCol w:w="698"/>
        <w:gridCol w:w="901"/>
        <w:gridCol w:w="2328"/>
        <w:gridCol w:w="2209"/>
        <w:gridCol w:w="2115"/>
      </w:tblGrid>
      <w:tr>
        <w:tblPrEx>
          <w:shd w:val="clear"/>
          <w:tblCellMar>
            <w:top w:w="50" w:type="dxa"/>
            <w:left w:w="100" w:type="dxa"/>
            <w:bottom w:w="50" w:type="dxa"/>
            <w:right w:w="100" w:type="dxa"/>
          </w:tblCellMar>
        </w:tblPrEx>
        <w:trPr>
          <w:trHeight w:val="2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ascii="黑体" w:hAnsi="宋体" w:eastAsia="黑体" w:cs="黑体"/>
                <w:sz w:val="24"/>
                <w:szCs w:val="24"/>
                <w:bdr w:val="none" w:color="auto" w:sz="0" w:space="0"/>
              </w:rPr>
              <w:t>序号</w:t>
            </w:r>
          </w:p>
        </w:tc>
        <w:tc>
          <w:tcPr>
            <w:tcW w:w="901" w:type="dxa"/>
            <w:tcBorders>
              <w:top w:val="single" w:color="000000"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eastAsia" w:ascii="黑体" w:hAnsi="宋体" w:eastAsia="黑体" w:cs="黑体"/>
                <w:sz w:val="24"/>
                <w:szCs w:val="24"/>
                <w:bdr w:val="none" w:color="auto" w:sz="0" w:space="0"/>
              </w:rPr>
              <w:t>辖区</w:t>
            </w:r>
          </w:p>
        </w:tc>
        <w:tc>
          <w:tcPr>
            <w:tcW w:w="2328" w:type="dxa"/>
            <w:tcBorders>
              <w:top w:val="single" w:color="000000"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eastAsia" w:ascii="黑体" w:hAnsi="宋体" w:eastAsia="黑体" w:cs="黑体"/>
                <w:sz w:val="24"/>
                <w:szCs w:val="24"/>
                <w:bdr w:val="none" w:color="auto" w:sz="0" w:space="0"/>
              </w:rPr>
              <w:t>实施方案文件</w:t>
            </w:r>
          </w:p>
        </w:tc>
        <w:tc>
          <w:tcPr>
            <w:tcW w:w="2209" w:type="dxa"/>
            <w:tcBorders>
              <w:top w:val="single" w:color="000000"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eastAsia" w:ascii="黑体" w:hAnsi="宋体" w:eastAsia="黑体" w:cs="黑体"/>
                <w:sz w:val="24"/>
                <w:szCs w:val="24"/>
                <w:bdr w:val="none" w:color="auto" w:sz="0" w:space="0"/>
              </w:rPr>
              <w:t>联席会议制度</w:t>
            </w:r>
          </w:p>
        </w:tc>
        <w:tc>
          <w:tcPr>
            <w:tcW w:w="2115" w:type="dxa"/>
            <w:tcBorders>
              <w:top w:val="single" w:color="000000"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eastAsia" w:ascii="黑体" w:hAnsi="宋体" w:eastAsia="黑体" w:cs="黑体"/>
                <w:sz w:val="24"/>
                <w:szCs w:val="24"/>
                <w:bdr w:val="none" w:color="auto" w:sz="0" w:space="0"/>
              </w:rPr>
              <w:t>委内领导小组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eastAsia" w:ascii="黑体" w:hAnsi="宋体" w:eastAsia="黑体" w:cs="黑体"/>
                <w:sz w:val="24"/>
                <w:szCs w:val="24"/>
                <w:bdr w:val="none" w:color="auto" w:sz="0" w:space="0"/>
              </w:rPr>
              <w:t>重点任务分工</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43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ascii="仿宋_GB2312" w:eastAsia="仿宋_GB2312" w:cs="仿宋_GB2312"/>
                <w:sz w:val="24"/>
                <w:szCs w:val="24"/>
                <w:bdr w:val="none" w:color="auto" w:sz="0" w:space="0"/>
              </w:rPr>
              <w:t>1</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和平区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2019年4月区政府办公室印发《和平区人民政府办公室印发关于改革完善医疗卫生行业综合监管制度实施方案的通知》(和平政办〔2019〕10号)</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2020年11月区卫健委印发《关于印发和平区改革完善医疗卫生行业综合监管工作联席会议制度的通知》（津和卫法〔2020〕2号）</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2019年10月区卫健委印发《区卫生健康委关于印发医疗卫生行业综合监管领导小组成员名单和重点任务分工的通知》(津和卫便函〔2019〕1号)</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46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2</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河西区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2019年6月区政府办公室印发《河西区人民政府办公室印发关于改革完善医疗卫生行业综合监管制度实施方案的通知》（津河西政办发〔2019〕12号）</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2020年6月区卫健委印发《关于印发河西区改革完善医疗卫生行业综合监管工作联席会议制度的通知》（津河西卫法〔2020〕224号）</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2020年10月区卫健委印发《关于印发医疗卫生行业综合监管领导小组成员名单和重点任务分工的通知》</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6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3</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南开区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2020年11月区政府办公室印发《关于印发南开区加强推动医疗卫生行业综合监管制度实施方案的通知》(南开政办发〔2020〕8号)</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2020年10月区卫健委印发《南开区卫生健康委关于印发南开区改革完善医疗卫生行业综合监管工作联席会议制度的通知》(津南卫〔2020〕169号)</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2019年10月区卫健委印发《南开区卫生健康委关于成立医疗卫生行业综合监管领导小组的通知》(津南卫便函〔2019〕115号)</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25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4</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红桥区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2020年4月区政府办公室印发《天津市红桥区人民政府办公室关于印发&lt;红桥区改革完善医疗卫生行业综合监管制度实施方案&gt;的通知》（红桥政办发〔2020〕5号）</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2020年4月区政府办公室《天津市红桥区人民政府办公室关于印发&lt;红桥区改革完善医疗卫生行业综合监管制度实施方案&gt;的通知》（红桥政办发〔2020〕5号）包含联席会议制度</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2020年11月区卫健委印发《红桥区卫生健康委关于印发委内医疗卫生行业综合监管领导小组成员名单及委机关科室任务分工的通知》（红桥卫生健康发〔2020〕113号）</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50" w:type="dxa"/>
            <w:left w:w="100" w:type="dxa"/>
            <w:bottom w:w="50" w:type="dxa"/>
            <w:right w:w="100" w:type="dxa"/>
          </w:tblCellMar>
        </w:tblPrEx>
        <w:trPr>
          <w:trHeight w:val="6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5</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津南区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2019年1月区政府办公室印发《津南区人民政府办公室印发关于改善医疗卫生行业综合监管制度实施方案的通知》（津南政办发〔2019〕4号）</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2019年11月区卫健委印发《区卫生健康委关于印发天津市改革完善医疗卫生行业综合监管工作联席会议制度的函》</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2019年11月区卫健委印发《区卫生健康委关于印发医疗卫生行业综合监管领导小组成员名单和重点任务分工的通知》（津南卫疾便函〔2019〕140号）</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27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6</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北辰区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2019年10月区政府办公室印发《天津市北辰区人民政府办公室印发关于改革完善医疗卫生行业综合监管制度实施方案的通知》（北辰政办发〔2019〕23号）</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2020年3月区卫健委印发《北辰区卫健委关于印发北辰区改革完善医疗卫生行业综合监管工作联席会议制度的通知》（津辰卫法发〔2020〕87号）</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2020年5月区卫健委印发《北辰区卫健委关于印发医疗卫生行业综合监管领导小组成员名单和重点任务分工的通知》（津辰卫监督科便函〔2020〕29号）</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24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7</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蓟州区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2018年11月区政府印发《蓟州区关于改革完善医疗卫生行业综合监管制度的实施方案》</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2020年6月区卫健委印发《关于印发蓟州区改革完善医疗卫生行业综合监管工作联席会议制度的通知》(津蓟卫健发〔2020〕36号)</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2019年10月区卫健委印发《区卫生健康委关于印发医疗卫生行业综合监管领导小组成员名单和重点任务分工的通知》(津蓟卫健便函〔2019〕186号)</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26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8</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宝坻区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2019年7月区政府办公室印发《天津市宝坻区人民政府办公室印发关于改革完善宝坻区医疗卫生行业综合监管制度实施方案的通知》（宝坻政办函〔2019〕9号）</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2020年5月区卫健委印发《区卫生健康委关于印发宝坻区改革完善医疗卫生行业综合监管工作联席会议制度的通知》（宝卫疾控〔2020〕27号）</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2020年11月区卫健委印发《宝坻区卫生健康委关于印发医疗卫生行业综合监管领导小组成员名单和重点任务分工的通知》</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6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9</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武清区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2019年12月区政府办公室印发《武清区人民政府办公室印发关于改革完善医疗卫生行业综合监管制度实施方案的通知》（武清政办〔2019〕13号)）</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2020年6月区卫健委印发《关于印发天津市武清区改革完善医疗卫生行业综合监管工作联席会议制度的通知》（津武卫监督〔2020〕65号）</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2019年9月区卫健委印发《武清区卫生健康委关于印发医疗卫生行业综合监管领导小组成员名单和重点任务分工的通知》</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50" w:type="dxa"/>
            <w:left w:w="100" w:type="dxa"/>
            <w:bottom w:w="50" w:type="dxa"/>
            <w:right w:w="100" w:type="dxa"/>
          </w:tblCellMar>
        </w:tblPrEx>
        <w:trPr>
          <w:trHeight w:val="74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10</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滨海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新区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2020年5月区政府办公室印发《天津市滨海新区人民政府办公室关于印发滨海新区改革完善医疗卫生行业综合监管制度实施方案的通知》(津滨政办发〔2020〕11号)</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5月区政府办公室印发《天津市滨海新区人民政府办公室关于印发滨海新区改革完善医疗卫生行业综合监管制度实施方案的通知》(津滨政办发〔2020〕11号)文件的第16页（五）建立工作联席会议制度，深化部门联动，附件1、附件2</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2020年9月区卫健委印发了《天津市滨海新区卫生健康委关于印发医疗卫生行业综合监管领导小组成员名单和重点任务分工的通知》（津滨卫执法〔2020〕121号）</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6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11</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东丽区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未以区政府名义印发</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2019年9月区卫健委印发《区卫生健康委关于印发医疗卫生行业综合监管领导小组成员名单和重点任务分工的通知》(津丽卫〔2019〕59号)</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2019年9月区卫健委印发《区卫生健康委关于印发东丽区改革完善医疗卫生行业综合监管工作联席会议制度的通知》(津丽卫〔2019〕60号)</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25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12</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宁河区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未以区政府名义印发</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2020年11月区卫健委印发《宁河区改革完善医疗卫生行业综合监管工作联席会议制度》(宁卫计生〔2020〕12号)</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rPr>
                <w:sz w:val="24"/>
                <w:szCs w:val="24"/>
              </w:rPr>
            </w:pPr>
            <w:r>
              <w:rPr>
                <w:rFonts w:hint="default" w:ascii="仿宋_GB2312" w:eastAsia="仿宋_GB2312" w:cs="仿宋_GB2312"/>
                <w:sz w:val="24"/>
                <w:szCs w:val="24"/>
                <w:bdr w:val="none" w:color="auto" w:sz="0" w:space="0"/>
              </w:rPr>
              <w:t>2019年12月区卫健委印发《宁河区卫生健康委医疗卫生行业综合监管领导小组成员名单和重点任务分工》(宁卫计生〔2019〕15号)</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24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13</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河北区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25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14</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河东区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50" w:type="dxa"/>
            <w:left w:w="100" w:type="dxa"/>
            <w:bottom w:w="50" w:type="dxa"/>
            <w:right w:w="100" w:type="dxa"/>
          </w:tblCellMar>
        </w:tblPrEx>
        <w:trPr>
          <w:trHeight w:val="24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15</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西青区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50" w:type="dxa"/>
            <w:left w:w="100" w:type="dxa"/>
            <w:bottom w:w="50" w:type="dxa"/>
            <w:right w:w="100" w:type="dxa"/>
          </w:tblCellMar>
        </w:tblPrEx>
        <w:trPr>
          <w:trHeight w:val="270" w:hRule="atLeast"/>
          <w:jc w:val="center"/>
        </w:trPr>
        <w:tc>
          <w:tcPr>
            <w:tcW w:w="698" w:type="dxa"/>
            <w:tcBorders>
              <w:top w:val="single" w:color="DDDDDD" w:sz="4" w:space="0"/>
              <w:left w:val="single" w:color="000000"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16</w:t>
            </w:r>
          </w:p>
        </w:tc>
        <w:tc>
          <w:tcPr>
            <w:tcW w:w="901"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静海区</w:t>
            </w:r>
          </w:p>
        </w:tc>
        <w:tc>
          <w:tcPr>
            <w:tcW w:w="2328"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c>
          <w:tcPr>
            <w:tcW w:w="2209"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c>
          <w:tcPr>
            <w:tcW w:w="2115" w:type="dxa"/>
            <w:tcBorders>
              <w:top w:val="single" w:color="DDDDDD" w:sz="4" w:space="0"/>
              <w:left w:val="single" w:color="DDDDDD" w:sz="4" w:space="0"/>
              <w:bottom w:val="single" w:color="000000" w:sz="4" w:space="0"/>
              <w:right w:val="single" w:color="000000" w:sz="4" w:space="0"/>
            </w:tcBorders>
            <w:shd w:val="clear"/>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firstLine="0"/>
              <w:jc w:val="center"/>
              <w:rPr>
                <w:sz w:val="24"/>
                <w:szCs w:val="24"/>
              </w:rPr>
            </w:pPr>
            <w:r>
              <w:rPr>
                <w:rFonts w:hint="default" w:ascii="仿宋_GB2312" w:eastAsia="仿宋_GB2312" w:cs="仿宋_GB2312"/>
                <w:sz w:val="24"/>
                <w:szCs w:val="24"/>
                <w:bdr w:val="none" w:color="auto" w:sz="0" w:space="0"/>
              </w:rPr>
              <w:t>未印发</w:t>
            </w:r>
          </w:p>
        </w:tc>
      </w:tr>
    </w:tbl>
    <w:p>
      <w:pPr>
        <w:pStyle w:val="2"/>
        <w:keepNext w:val="0"/>
        <w:keepLines w:val="0"/>
        <w:widowControl/>
        <w:suppressLineNumbers w:val="0"/>
        <w:spacing w:before="0" w:beforeAutospacing="0" w:after="0" w:afterAutospacing="0" w:line="350" w:lineRule="atLeast"/>
        <w:ind w:left="0" w:right="0" w:firstLine="480"/>
        <w:jc w:val="center"/>
        <w:rPr>
          <w:rFonts w:hint="default" w:ascii="Times New Roman" w:hAnsi="Times New Roman" w:cs="Times New Roman"/>
          <w:sz w:val="14"/>
          <w:szCs w:val="14"/>
        </w:rPr>
      </w:pPr>
    </w:p>
    <w:p>
      <w:pPr>
        <w:pStyle w:val="2"/>
        <w:keepNext w:val="0"/>
        <w:keepLines w:val="0"/>
        <w:widowControl/>
        <w:suppressLineNumbers w:val="0"/>
        <w:spacing w:before="0" w:beforeAutospacing="0" w:after="0" w:afterAutospacing="0" w:line="240" w:lineRule="auto"/>
        <w:ind w:left="0" w:right="0" w:firstLine="420"/>
        <w:rPr>
          <w:rFonts w:hint="eastAsia" w:ascii="宋体" w:hAnsi="宋体" w:eastAsia="宋体" w:cs="宋体"/>
          <w:sz w:val="16"/>
          <w:szCs w:val="16"/>
        </w:rPr>
      </w:pPr>
    </w:p>
    <w:p>
      <w:pPr>
        <w:pStyle w:val="2"/>
        <w:keepNext w:val="0"/>
        <w:keepLines w:val="0"/>
        <w:widowControl/>
        <w:suppressLineNumbers w:val="0"/>
        <w:spacing w:before="0" w:beforeAutospacing="0" w:after="0" w:afterAutospacing="0" w:line="370" w:lineRule="atLeast"/>
        <w:ind w:left="0" w:right="0" w:firstLine="420"/>
        <w:jc w:val="both"/>
        <w:rPr>
          <w:rFonts w:hint="eastAsia" w:ascii="宋体" w:hAnsi="宋体" w:eastAsia="宋体" w:cs="宋体"/>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52744"/>
    <w:rsid w:val="1E75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2020-11-24T07:38:00Z</dcterms:created>
  <dc:creator>宗布</dc:creator>
  <cp:lastModifiedBy>宗布</cp:lastModifiedBy>
  <dcterms:modified xsi:type="dcterms:W3CDTF">2020-11-24T07:41:06Z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