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adjustRightInd w:val="0"/>
        <w:snapToGrid w:val="0"/>
        <w:spacing w:line="520" w:lineRule="exact"/>
        <w:jc w:val="both"/>
        <w:rPr>
          <w:rFonts w:hint="eastAsia" w:eastAsia="方正小标宋简体" w:cs="Times New Roman"/>
          <w:sz w:val="44"/>
          <w:szCs w:val="44"/>
          <w:lang w:eastAsia="zh-CN"/>
        </w:rPr>
      </w:pPr>
    </w:p>
    <w:p>
      <w:pPr>
        <w:adjustRightInd w:val="0"/>
        <w:snapToGrid w:val="0"/>
        <w:spacing w:line="52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糖尿病</w:t>
      </w:r>
      <w:r>
        <w:rPr>
          <w:rFonts w:hint="eastAsia" w:ascii="Times New Roman" w:hAnsi="Times New Roman" w:eastAsia="方正小标宋简体" w:cs="Times New Roman"/>
          <w:sz w:val="44"/>
          <w:szCs w:val="44"/>
          <w:lang w:eastAsia="zh-CN"/>
        </w:rPr>
        <w:t>示范门诊单元建设方案（试行）</w:t>
      </w:r>
    </w:p>
    <w:p>
      <w:pPr>
        <w:snapToGrid w:val="0"/>
        <w:spacing w:line="560" w:lineRule="exact"/>
        <w:ind w:firstLine="640" w:firstLineChars="200"/>
        <w:jc w:val="center"/>
        <w:rPr>
          <w:rFonts w:hint="default" w:ascii="Times New Roman" w:hAnsi="Times New Roman" w:eastAsia="仿宋_GB2312" w:cs="Times New Roman"/>
          <w:kern w:val="0"/>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一、前置条件</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（一）医疗安全：前一年及当年未发生过经鉴定定性为二级及以上负主要责任的医疗事故。</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（二）机构管理：</w:t>
      </w:r>
      <w:r>
        <w:rPr>
          <w:rFonts w:hint="default" w:ascii="Times New Roman" w:hAnsi="Times New Roman" w:eastAsia="仿宋_GB2312" w:cs="Times New Roman"/>
          <w:sz w:val="32"/>
          <w:szCs w:val="32"/>
          <w:lang w:eastAsia="zh-CN"/>
        </w:rPr>
        <w:t>无对外出租、承包内部科室等行为。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二、功能任务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（一）基本功能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1.提供基本医疗服务。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2.开展</w:t>
      </w:r>
      <w:r>
        <w:rPr>
          <w:rFonts w:hint="default" w:ascii="Times New Roman" w:hAnsi="Times New Roman" w:eastAsia="仿宋_GB2312" w:cs="Times New Roman"/>
          <w:sz w:val="32"/>
          <w:szCs w:val="32"/>
        </w:rPr>
        <w:t>家庭医生签约服务，为患者提供全方位、连续性的健康管理服务</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3.具有辐射一定区域范围的医疗服务能力。</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（二）主要任务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1.提供当地居民糖尿病诊疗门诊服务：诊疗方案制定、用药指导、患者教育、相关并发症定期筛查、回访等。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2.提供适宜技术，安全使用设备和药品。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与</w:t>
      </w:r>
      <w:r>
        <w:rPr>
          <w:rFonts w:hint="default" w:ascii="Times New Roman" w:hAnsi="Times New Roman" w:eastAsia="仿宋_GB2312" w:cs="Times New Roman"/>
          <w:sz w:val="32"/>
          <w:szCs w:val="32"/>
          <w:lang w:eastAsia="zh-CN"/>
        </w:rPr>
        <w:t>二三</w:t>
      </w:r>
      <w:r>
        <w:rPr>
          <w:rFonts w:hint="default" w:ascii="Times New Roman" w:hAnsi="Times New Roman" w:eastAsia="仿宋_GB2312" w:cs="Times New Roman"/>
          <w:sz w:val="32"/>
          <w:szCs w:val="32"/>
        </w:rPr>
        <w:t>级医院建立协作机制，</w:t>
      </w:r>
      <w:r>
        <w:rPr>
          <w:rFonts w:hint="default" w:ascii="Times New Roman" w:hAnsi="Times New Roman" w:eastAsia="仿宋_GB2312" w:cs="Times New Roman"/>
          <w:sz w:val="32"/>
          <w:szCs w:val="32"/>
          <w:lang w:val="en-US" w:eastAsia="zh-CN"/>
        </w:rPr>
        <w:t>提供转诊服务，接收转诊病人。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4.提供一定的糖尿病患者急诊急救服务。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三、科室设置</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（一）临床科室：设置糖尿病门诊诊室、患者教育空间、抢救室、预检分诊台。其中要求</w:t>
      </w:r>
      <w:r>
        <w:rPr>
          <w:rFonts w:hint="default" w:ascii="Times New Roman" w:hAnsi="Times New Roman" w:eastAsia="仿宋_GB2312" w:cs="Times New Roman"/>
          <w:sz w:val="32"/>
          <w:szCs w:val="32"/>
        </w:rPr>
        <w:t>具备独立门诊工作区域，有相对独立的教育空间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面积</w:t>
      </w:r>
      <w:r>
        <w:rPr>
          <w:rFonts w:hint="default" w:ascii="Times New Roman" w:hAnsi="Times New Roman" w:eastAsia="仿宋_GB2312" w:cs="Times New Roman"/>
          <w:sz w:val="32"/>
          <w:szCs w:val="32"/>
          <w:lang w:eastAsia="zh-CN"/>
        </w:rPr>
        <w:t>大于</w:t>
      </w:r>
      <w:r>
        <w:rPr>
          <w:rFonts w:hint="default" w:ascii="Times New Roman" w:hAnsi="Times New Roman" w:eastAsia="仿宋_GB2312" w:cs="Times New Roman"/>
          <w:sz w:val="32"/>
          <w:szCs w:val="32"/>
        </w:rPr>
        <w:t>5平方米</w:t>
      </w:r>
      <w:r>
        <w:rPr>
          <w:rFonts w:hint="default" w:ascii="Times New Roman" w:hAnsi="Times New Roman" w:eastAsia="仿宋_GB2312" w:cs="Times New Roman"/>
          <w:sz w:val="32"/>
          <w:szCs w:val="32"/>
          <w:lang w:eastAsia="zh-CN"/>
        </w:rPr>
        <w:t>，通风并阳光充足；</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有洗手池和消毒凝胶等方便为患者检查后的手消；</w:t>
      </w:r>
      <w:r>
        <w:rPr>
          <w:rFonts w:hint="default" w:ascii="Times New Roman" w:hAnsi="Times New Roman" w:eastAsia="仿宋_GB2312" w:cs="Times New Roman"/>
          <w:sz w:val="32"/>
          <w:szCs w:val="32"/>
          <w:lang w:val="en-US" w:eastAsia="zh-CN"/>
        </w:rPr>
        <w:t>3.通过展板、宣教处方、教育工具展示等营造良好的诊室氛围。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（二）其他科室：设置药房、检验科、放射科、B超/心电图室、健康信息管理室、消毒供应室。</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eastAsia="zh-CN"/>
        </w:rPr>
        <w:t>四、</w:t>
      </w:r>
      <w:r>
        <w:rPr>
          <w:rFonts w:hint="default" w:ascii="Times New Roman" w:hAnsi="Times New Roman" w:eastAsia="黑体" w:cs="Times New Roman"/>
          <w:sz w:val="32"/>
          <w:szCs w:val="32"/>
        </w:rPr>
        <w:t>人员</w:t>
      </w:r>
      <w:r>
        <w:rPr>
          <w:rFonts w:hint="default" w:ascii="Times New Roman" w:hAnsi="Times New Roman" w:eastAsia="黑体" w:cs="Times New Roman"/>
          <w:sz w:val="32"/>
          <w:szCs w:val="32"/>
          <w:lang w:eastAsia="zh-CN"/>
        </w:rPr>
        <w:t>配备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成立由医生、护士、</w:t>
      </w:r>
      <w:r>
        <w:rPr>
          <w:rFonts w:hint="default" w:ascii="Times New Roman" w:hAnsi="Times New Roman" w:eastAsia="仿宋_GB2312" w:cs="Times New Roman"/>
          <w:sz w:val="32"/>
          <w:szCs w:val="32"/>
          <w:lang w:eastAsia="zh-CN"/>
        </w:rPr>
        <w:t>公共卫生人员、检验医师、药师</w:t>
      </w:r>
      <w:r>
        <w:rPr>
          <w:rFonts w:hint="default" w:ascii="Times New Roman" w:hAnsi="Times New Roman" w:eastAsia="仿宋_GB2312" w:cs="Times New Roman"/>
          <w:sz w:val="32"/>
          <w:szCs w:val="32"/>
        </w:rPr>
        <w:t>等组成的服务团队，发挥团队作用，为居民提供糖尿病管理的整合性服务。</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至少1名主治及以上职称的首席</w:t>
      </w:r>
      <w:r>
        <w:rPr>
          <w:rFonts w:hint="default" w:ascii="Times New Roman" w:hAnsi="Times New Roman" w:eastAsia="仿宋_GB2312" w:cs="Times New Roman"/>
          <w:sz w:val="32"/>
          <w:szCs w:val="32"/>
          <w:lang w:eastAsia="zh-CN"/>
        </w:rPr>
        <w:t>糖尿病</w:t>
      </w:r>
      <w:r>
        <w:rPr>
          <w:rFonts w:hint="default" w:ascii="Times New Roman" w:hAnsi="Times New Roman" w:eastAsia="仿宋_GB2312" w:cs="Times New Roman"/>
          <w:sz w:val="32"/>
          <w:szCs w:val="32"/>
        </w:rPr>
        <w:t>医师负责</w:t>
      </w:r>
      <w:r>
        <w:rPr>
          <w:rFonts w:hint="default" w:ascii="Times New Roman" w:hAnsi="Times New Roman" w:eastAsia="仿宋_GB2312" w:cs="Times New Roman"/>
          <w:sz w:val="32"/>
          <w:szCs w:val="32"/>
          <w:lang w:eastAsia="zh-CN"/>
        </w:rPr>
        <w:t>患者诊疗工作</w:t>
      </w:r>
      <w:r>
        <w:rPr>
          <w:rFonts w:hint="default" w:ascii="Times New Roman" w:hAnsi="Times New Roman" w:eastAsia="仿宋_GB2312" w:cs="Times New Roman"/>
          <w:sz w:val="32"/>
          <w:szCs w:val="32"/>
        </w:rPr>
        <w:t>。</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至少2名护理/临床/营养专业的专职人员负责患者的教育指导工作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教育人员需获得</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级及以上糖尿病教育资格认证（如 JDI认证、市卫</w:t>
      </w:r>
      <w:r>
        <w:rPr>
          <w:rFonts w:hint="default" w:ascii="Times New Roman" w:hAnsi="Times New Roman" w:eastAsia="仿宋_GB2312" w:cs="Times New Roman"/>
          <w:sz w:val="32"/>
          <w:szCs w:val="32"/>
          <w:lang w:eastAsia="zh-CN"/>
        </w:rPr>
        <w:t>生健康</w:t>
      </w:r>
      <w:r>
        <w:rPr>
          <w:rFonts w:hint="default" w:ascii="Times New Roman" w:hAnsi="Times New Roman" w:eastAsia="仿宋_GB2312" w:cs="Times New Roman"/>
          <w:sz w:val="32"/>
          <w:szCs w:val="32"/>
        </w:rPr>
        <w:t>委认证或取得CDS相关认证）</w:t>
      </w:r>
      <w:r>
        <w:rPr>
          <w:rFonts w:hint="default" w:ascii="Times New Roman" w:hAnsi="Times New Roman" w:eastAsia="仿宋_GB2312" w:cs="Times New Roman"/>
          <w:sz w:val="32"/>
          <w:szCs w:val="32"/>
          <w:lang w:val="en-US" w:eastAsia="zh-CN"/>
        </w:rPr>
        <w:t>并具备两年以上患者教育工作的经验。</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至少1名检验医师负责患者的检验报告审核工作。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至少1名药师负责患者的药品调剂与审核工作。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宋体" w:cs="Times New Roman"/>
          <w:sz w:val="32"/>
          <w:szCs w:val="32"/>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eastAsia="zh-CN"/>
        </w:rPr>
        <w:t>逐步</w:t>
      </w:r>
      <w:r>
        <w:rPr>
          <w:rFonts w:hint="default" w:ascii="Times New Roman" w:hAnsi="Times New Roman" w:eastAsia="仿宋_GB2312" w:cs="Times New Roman"/>
          <w:sz w:val="32"/>
          <w:szCs w:val="32"/>
        </w:rPr>
        <w:t>配备健康管理师、体育运动指导</w:t>
      </w:r>
      <w:r>
        <w:rPr>
          <w:rFonts w:hint="default" w:ascii="Times New Roman" w:hAnsi="Times New Roman" w:eastAsia="仿宋_GB2312" w:cs="Times New Roman"/>
          <w:sz w:val="32"/>
          <w:szCs w:val="32"/>
          <w:lang w:eastAsia="zh-CN"/>
        </w:rPr>
        <w:t>师</w:t>
      </w:r>
      <w:r>
        <w:rPr>
          <w:rFonts w:hint="default" w:ascii="Times New Roman" w:hAnsi="Times New Roman" w:eastAsia="仿宋_GB2312" w:cs="Times New Roman"/>
          <w:sz w:val="32"/>
          <w:szCs w:val="32"/>
        </w:rPr>
        <w:t>、心理咨询师、社</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义</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五、设施</w:t>
      </w:r>
      <w:r>
        <w:rPr>
          <w:rFonts w:hint="default" w:ascii="Times New Roman" w:hAnsi="Times New Roman" w:eastAsia="黑体" w:cs="Times New Roman"/>
          <w:sz w:val="32"/>
          <w:szCs w:val="32"/>
        </w:rPr>
        <w:t>设备</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（一）基础设施：有诊桌、诊椅、电脑、打印机、文件柜等基础设施。</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必备设备：便携式血糖仪、血生化分析仪、尿常规分析仪、血压计、身高体重计、测量腰围的软尺、128Hz音叉、10g尼龙单丝、叩诊锤、视力表</w:t>
      </w:r>
      <w:r>
        <w:rPr>
          <w:rFonts w:hint="default" w:ascii="Times New Roman" w:hAnsi="Times New Roman" w:eastAsia="仿宋_GB2312" w:cs="Times New Roman"/>
          <w:sz w:val="32"/>
          <w:szCs w:val="32"/>
          <w:lang w:eastAsia="zh-CN"/>
        </w:rPr>
        <w:t>、足部检查相关</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（三）</w:t>
      </w:r>
      <w:r>
        <w:rPr>
          <w:rFonts w:hint="default" w:ascii="Times New Roman" w:hAnsi="Times New Roman" w:eastAsia="仿宋_GB2312" w:cs="Times New Roman"/>
          <w:sz w:val="32"/>
          <w:szCs w:val="32"/>
        </w:rPr>
        <w:t>其他应配备设备：血常规分析仪、心电图机。</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（四）教育工具：饮食模具及标准杯盘、胰岛素注射示教笔及常见胰岛素类型、足部护理指导箱、血糖监测箱。</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（五）提供糖尿病知识介绍的纸质/电子宣传资料。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★（六）有条件的机构可配备糖化血红蛋白(glycosylated hemoglobin A1c,HbA1c)检测仪、眼底镜、免散瞳眼底照相机、通过信息系统实现数据实时上传的检测设备等。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★（七）有条件的机构可配备检查化验数据实时上传系统。</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w:t>
      </w:r>
      <w:r>
        <w:rPr>
          <w:rFonts w:hint="default" w:ascii="Times New Roman" w:hAnsi="Times New Roman" w:eastAsia="仿宋_GB2312" w:cs="Times New Roman"/>
          <w:sz w:val="32"/>
          <w:szCs w:val="32"/>
          <w:lang w:eastAsia="zh-CN"/>
        </w:rPr>
        <w:t>本机构不能独立完成的检查、化验应与</w:t>
      </w:r>
      <w:r>
        <w:rPr>
          <w:rFonts w:hint="default" w:ascii="Times New Roman" w:hAnsi="Times New Roman" w:eastAsia="仿宋_GB2312" w:cs="Times New Roman"/>
          <w:sz w:val="32"/>
          <w:szCs w:val="32"/>
        </w:rPr>
        <w:t>具备相应条件的医联体或</w:t>
      </w:r>
      <w:r>
        <w:rPr>
          <w:rFonts w:hint="default" w:ascii="Times New Roman" w:hAnsi="Times New Roman" w:eastAsia="仿宋_GB2312" w:cs="Times New Roman"/>
          <w:sz w:val="32"/>
          <w:szCs w:val="32"/>
          <w:lang w:eastAsia="zh-CN"/>
        </w:rPr>
        <w:t>有资质</w:t>
      </w:r>
      <w:r>
        <w:rPr>
          <w:rFonts w:hint="default" w:ascii="Times New Roman" w:hAnsi="Times New Roman" w:eastAsia="仿宋_GB2312" w:cs="Times New Roman"/>
          <w:sz w:val="32"/>
          <w:szCs w:val="32"/>
        </w:rPr>
        <w:t>第三</w:t>
      </w:r>
      <w:r>
        <w:rPr>
          <w:rFonts w:hint="default" w:ascii="Times New Roman" w:hAnsi="Times New Roman" w:eastAsia="仿宋_GB2312" w:cs="Times New Roman"/>
          <w:sz w:val="32"/>
          <w:szCs w:val="32"/>
          <w:lang w:eastAsia="zh-CN"/>
        </w:rPr>
        <w:t>方机构开展合作。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六、药品保障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（一）应配备下述 5 大类降糖基本药物，即：二甲双胍、胰岛素促泌剂、α-糖苷酶抑制剂、噻唑烷二酮类(thiazolid</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inediones,TZDs)药物、胰岛素。</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宋体" w:cs="Times New Roman"/>
          <w:sz w:val="32"/>
          <w:szCs w:val="32"/>
        </w:rPr>
        <w:t>★</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lang w:val="en-US" w:eastAsia="zh-CN"/>
        </w:rPr>
        <w:t>有条件的机构可配备DPP-4抑制剂、SGLT-2抑制剂、GLP-1受体激动剂等新型口服药物。</w:t>
      </w:r>
    </w:p>
    <w:p>
      <w:pPr>
        <w:keepNext w:val="0"/>
        <w:keepLines w:val="0"/>
        <w:pageBreakBefore w:val="0"/>
        <w:kinsoku/>
        <w:wordWrap/>
        <w:overflowPunct/>
        <w:topLinePunct w:val="0"/>
        <w:autoSpaceDE/>
        <w:autoSpaceDN/>
        <w:bidi w:val="0"/>
        <w:ind w:firstLine="640" w:firstLineChars="200"/>
        <w:jc w:val="both"/>
        <w:textAlignment w:val="auto"/>
        <w:rPr>
          <w:rFonts w:hint="eastAsia" w:eastAsia="黑体"/>
          <w:sz w:val="32"/>
          <w:szCs w:val="32"/>
        </w:rPr>
      </w:pPr>
      <w:r>
        <w:rPr>
          <w:rFonts w:hint="eastAsia" w:eastAsia="黑体"/>
          <w:sz w:val="32"/>
          <w:szCs w:val="32"/>
          <w:lang w:eastAsia="zh-CN"/>
        </w:rPr>
        <w:t>七、</w:t>
      </w:r>
      <w:r>
        <w:rPr>
          <w:rFonts w:hint="eastAsia" w:eastAsia="黑体"/>
          <w:sz w:val="32"/>
          <w:szCs w:val="32"/>
        </w:rPr>
        <w:t>质量管理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（一）门诊设有专职人员，确定诊疗方案后对患者进行糖尿病饮食、运动、胰岛素注射技术、血糖监测相关知识、急慢性并发症的预防与筛查、糖尿病自我管理等进行相应指导。</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（二）制定糖尿病及其并发症的诊疗路径，对患者进行体系化管理。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（三）建立就诊患者个案管理记录，为管理质量评价考核做好基础。</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（四）建立糖尿病门诊管理制度、疑难病例会诊制度，对诊疗流程、常规教育项目标准化。</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（五）建立外出学习机制，不断提升医务人员诊疗能力，提升机构接诊能力。</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（六）市基层糖尿病防治管理办公室对糖尿病示范门诊单元不定期检查，保证质量持续改进。</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宋体" w:cs="Times New Roman"/>
          <w:sz w:val="32"/>
          <w:szCs w:val="32"/>
        </w:rPr>
        <w:t>★</w:t>
      </w:r>
      <w:r>
        <w:rPr>
          <w:rFonts w:hint="default" w:ascii="Times New Roman" w:hAnsi="Times New Roman" w:eastAsia="仿宋_GB2312" w:cs="Times New Roman"/>
          <w:sz w:val="32"/>
          <w:szCs w:val="32"/>
          <w:lang w:eastAsia="zh-CN"/>
        </w:rPr>
        <w:t>（七）</w:t>
      </w:r>
      <w:r>
        <w:rPr>
          <w:rFonts w:hint="default" w:ascii="Times New Roman" w:hAnsi="Times New Roman" w:eastAsia="仿宋_GB2312" w:cs="Times New Roman"/>
          <w:sz w:val="32"/>
          <w:szCs w:val="32"/>
          <w:lang w:val="en-US" w:eastAsia="zh-CN"/>
        </w:rPr>
        <w:t>其他质量管理亮点。</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八、其他管理</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（一）排班制度：有规律的出诊时间，有门诊排班并保证出诊，如遇特殊情况不能出诊需提前做好调班。</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（二）保密制度：应诊患者的个人信息只用于医疗服务和管理质量需要，对外需严格保密，不得私自外泄患者相关信息。</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（三）其他完备的</w:t>
      </w:r>
      <w:r>
        <w:rPr>
          <w:rFonts w:hint="default" w:ascii="Times New Roman" w:hAnsi="Times New Roman" w:eastAsia="仿宋_GB2312" w:cs="Times New Roman"/>
          <w:sz w:val="32"/>
          <w:szCs w:val="32"/>
        </w:rPr>
        <w:t>机构管理制度文件</w:t>
      </w:r>
      <w:r>
        <w:rPr>
          <w:rFonts w:hint="default" w:ascii="Times New Roman" w:hAnsi="Times New Roman" w:eastAsia="仿宋_GB2312" w:cs="Times New Roman"/>
          <w:sz w:val="32"/>
          <w:szCs w:val="32"/>
          <w:lang w:eastAsia="zh-CN"/>
        </w:rPr>
        <w:t>，包括</w:t>
      </w:r>
      <w:r>
        <w:rPr>
          <w:rFonts w:hint="default" w:ascii="Times New Roman" w:hAnsi="Times New Roman" w:eastAsia="仿宋_GB2312" w:cs="Times New Roman"/>
          <w:sz w:val="32"/>
          <w:szCs w:val="32"/>
        </w:rPr>
        <w:t>人员管理、岗位职责、设施设备管理、安全管理、突发事件管理、绩效管理、疫情防控</w:t>
      </w:r>
      <w:r>
        <w:rPr>
          <w:rFonts w:hint="default" w:ascii="Times New Roman" w:hAnsi="Times New Roman" w:eastAsia="仿宋_GB2312" w:cs="Times New Roman"/>
          <w:sz w:val="32"/>
          <w:szCs w:val="32"/>
          <w:lang w:eastAsia="zh-CN"/>
        </w:rPr>
        <w:t>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九、</w:t>
      </w:r>
      <w:r>
        <w:rPr>
          <w:rFonts w:hint="default" w:ascii="Times New Roman" w:hAnsi="Times New Roman" w:eastAsia="黑体" w:cs="Times New Roman"/>
          <w:sz w:val="32"/>
          <w:szCs w:val="32"/>
          <w:lang w:eastAsia="zh-CN"/>
        </w:rPr>
        <w:t>考核指标</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（一）糖尿病患者健康管理率=年内已管理糖尿病患者人数/年内辖区内糖尿病患者总人数×100％。</w:t>
      </w:r>
    </w:p>
    <w:p>
      <w:pPr>
        <w:keepNext w:val="0"/>
        <w:keepLines w:val="0"/>
        <w:pageBreakBefore w:val="0"/>
        <w:numPr>
          <w:ilvl w:val="0"/>
          <w:numId w:val="0"/>
        </w:numPr>
        <w:kinsoku/>
        <w:wordWrap/>
        <w:overflowPunct/>
        <w:topLinePunct w:val="0"/>
        <w:autoSpaceDE/>
        <w:autoSpaceDN/>
        <w:bidi w:val="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注：辖区内糖尿病患者总人数估算：辖区常住成年人口总数×成年人糖尿病患病率（通过当地流行病学调查、社区卫生诊断获得或是选用本市或全国近期2型糖尿病患病率指标）。</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（二）糖尿病患者规范健康管理率=按照要求进行糖尿病患者健康管理的人数/年内管理糖尿病患者人数×100％。</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仿宋_GB2312" w:cs="Times New Roman"/>
          <w:sz w:val="32"/>
          <w:szCs w:val="32"/>
          <w:lang w:val="en-US" w:eastAsia="zh-CN"/>
        </w:rPr>
        <w:t>（三）管理人群血糖控制率=最近一次随访空腹血糖达标人数/已管理的糖尿病患者人数×100％。</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（四）糖尿病患者年门诊量。 </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（五）处方点评率=点评处方数/同期处方总数×100％。</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（六）床旁血糖仪室内质控率=进行进行室内质控的床旁血糖仪数/同期使用床旁血糖仪总数×100％。</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（七）糖尿病患者自测血糖率=自测血糖患者人数/年内管理糖尿病患者人数×100％。</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宋体" w:cs="Times New Roman"/>
          <w:sz w:val="32"/>
          <w:szCs w:val="32"/>
          <w:highlight w:val="none"/>
        </w:rPr>
        <w:t>★</w:t>
      </w:r>
      <w:r>
        <w:rPr>
          <w:rFonts w:hint="default" w:ascii="Times New Roman" w:hAnsi="Times New Roman" w:eastAsia="黑体" w:cs="Times New Roman"/>
          <w:sz w:val="32"/>
          <w:szCs w:val="32"/>
          <w:highlight w:val="none"/>
          <w:lang w:val="en-US" w:eastAsia="zh-CN"/>
        </w:rPr>
        <w:t>十、其他亮点</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（一）转诊能力</w:t>
      </w:r>
    </w:p>
    <w:p>
      <w:pPr>
        <w:keepNext w:val="0"/>
        <w:keepLines w:val="0"/>
        <w:pageBreakBefore w:val="0"/>
        <w:numPr>
          <w:ilvl w:val="0"/>
          <w:numId w:val="0"/>
        </w:numPr>
        <w:kinsoku/>
        <w:wordWrap/>
        <w:overflowPunct/>
        <w:topLinePunct w:val="0"/>
        <w:autoSpaceDE/>
        <w:autoSpaceDN/>
        <w:bidi w:val="0"/>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（二）糖尿病并发症诊治能力</w:t>
      </w:r>
    </w:p>
    <w:p>
      <w:pPr>
        <w:pStyle w:val="2"/>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0" w:firstLineChars="200"/>
        <w:jc w:val="both"/>
        <w:textAlignment w:val="auto"/>
        <w:rPr>
          <w:rFonts w:ascii="Times New Roman" w:hAnsi="Times New Roman" w:eastAsia="黑体" w:cs="Times New Roman"/>
          <w:sz w:val="32"/>
          <w:szCs w:val="32"/>
        </w:rPr>
      </w:pPr>
      <w:r>
        <w:rPr>
          <w:rFonts w:hint="eastAsia" w:eastAsia="黑体" w:cs="Times New Roman"/>
          <w:sz w:val="32"/>
          <w:szCs w:val="32"/>
          <w:lang w:eastAsia="zh-CN"/>
        </w:rPr>
        <w:t>注：</w:t>
      </w:r>
      <w:r>
        <w:rPr>
          <w:rFonts w:ascii="Times New Roman" w:hAnsi="Times New Roman" w:eastAsia="黑体" w:cs="Times New Roman"/>
          <w:sz w:val="32"/>
          <w:szCs w:val="32"/>
        </w:rPr>
        <w:t>标准分类</w:t>
      </w:r>
    </w:p>
    <w:p>
      <w:pPr>
        <w:pStyle w:val="2"/>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ascii="Times New Roman" w:hAnsi="Times New Roman" w:eastAsia="仿宋_GB2312" w:cs="Times New Roman"/>
          <w:sz w:val="32"/>
          <w:szCs w:val="32"/>
        </w:rPr>
      </w:pPr>
      <w:r>
        <w:rPr>
          <w:rFonts w:ascii="Times New Roman" w:hAnsi="Times New Roman" w:eastAsia="楷体_GB2312" w:cs="Times New Roman"/>
          <w:b/>
          <w:sz w:val="32"/>
          <w:szCs w:val="32"/>
        </w:rPr>
        <w:t>（一）基本条款。</w:t>
      </w:r>
      <w:r>
        <w:rPr>
          <w:rFonts w:ascii="Times New Roman" w:hAnsi="Times New Roman" w:eastAsia="仿宋_GB2312" w:cs="Times New Roman"/>
          <w:sz w:val="32"/>
          <w:szCs w:val="32"/>
        </w:rPr>
        <w:t>将最基本、最常用、最易做到、必须做好的列为基本条款，适用于所有</w:t>
      </w:r>
      <w:r>
        <w:rPr>
          <w:rFonts w:hint="eastAsia" w:eastAsia="仿宋_GB2312" w:cs="Times New Roman"/>
          <w:sz w:val="32"/>
          <w:szCs w:val="32"/>
          <w:lang w:eastAsia="zh-CN"/>
        </w:rPr>
        <w:t>基层医疗机构</w:t>
      </w:r>
      <w:r>
        <w:rPr>
          <w:rFonts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snapToGrid w:val="0"/>
        <w:spacing w:line="560" w:lineRule="exact"/>
        <w:ind w:firstLine="643" w:firstLineChars="200"/>
        <w:jc w:val="both"/>
        <w:textAlignment w:val="auto"/>
        <w:rPr>
          <w:rFonts w:ascii="Times New Roman" w:hAnsi="Times New Roman" w:eastAsia="仿宋_GB2312" w:cs="Times New Roman"/>
          <w:sz w:val="32"/>
          <w:szCs w:val="32"/>
        </w:rPr>
      </w:pPr>
      <w:r>
        <w:rPr>
          <w:rFonts w:ascii="Times New Roman" w:hAnsi="Times New Roman" w:eastAsia="楷体_GB2312" w:cs="Times New Roman"/>
          <w:b/>
          <w:sz w:val="32"/>
          <w:szCs w:val="32"/>
        </w:rPr>
        <w:t>（二）推荐条款。</w:t>
      </w:r>
      <w:r>
        <w:rPr>
          <w:rFonts w:ascii="Times New Roman" w:hAnsi="Times New Roman" w:eastAsia="仿宋_GB2312" w:cs="Times New Roman"/>
          <w:sz w:val="32"/>
          <w:szCs w:val="32"/>
        </w:rPr>
        <w:t>在基本条款基础上，针对医疗服务能力较强的</w:t>
      </w:r>
      <w:r>
        <w:rPr>
          <w:rFonts w:hint="eastAsia" w:eastAsia="仿宋_GB2312" w:cs="Times New Roman"/>
          <w:sz w:val="32"/>
          <w:szCs w:val="32"/>
          <w:lang w:eastAsia="zh-CN"/>
        </w:rPr>
        <w:t>基层机构</w:t>
      </w:r>
      <w:r>
        <w:rPr>
          <w:rFonts w:ascii="Times New Roman" w:hAnsi="Times New Roman" w:eastAsia="仿宋_GB2312" w:cs="Times New Roman"/>
          <w:sz w:val="32"/>
          <w:szCs w:val="32"/>
        </w:rPr>
        <w:t>增设推荐条款，以“</w:t>
      </w:r>
      <w:r>
        <w:rPr>
          <w:rFonts w:hint="default" w:ascii="Times New Roman" w:hAnsi="Times New Roman" w:eastAsia="宋体" w:cs="Times New Roman"/>
          <w:sz w:val="32"/>
          <w:szCs w:val="32"/>
        </w:rPr>
        <w:t>★</w:t>
      </w:r>
      <w:r>
        <w:rPr>
          <w:rFonts w:ascii="Times New Roman" w:hAnsi="Times New Roman" w:eastAsia="仿宋_GB2312" w:cs="Times New Roman"/>
          <w:sz w:val="32"/>
          <w:szCs w:val="32"/>
        </w:rPr>
        <w:t>”标注。</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snapToGrid w:val="0"/>
        <w:spacing w:line="560" w:lineRule="exact"/>
        <w:ind w:firstLine="0" w:firstLineChars="0"/>
        <w:jc w:val="both"/>
        <w:textAlignment w:val="auto"/>
        <w:rPr>
          <w:rFonts w:hint="eastAsia" w:eastAsia="仿宋_GB2312"/>
          <w:sz w:val="32"/>
          <w:szCs w:val="32"/>
          <w:lang w:eastAsia="zh-CN"/>
        </w:rPr>
      </w:pPr>
      <w:r>
        <w:rPr>
          <w:rFonts w:hint="eastAsia" w:eastAsia="仿宋_GB2312"/>
          <w:sz w:val="32"/>
          <w:szCs w:val="32"/>
          <w:lang w:val="en-US" w:eastAsia="zh-CN"/>
        </w:rPr>
        <w:t xml:space="preserve">    </w:t>
      </w:r>
      <w:r>
        <w:rPr>
          <w:rFonts w:hint="eastAsia" w:eastAsia="仿宋_GB2312"/>
          <w:sz w:val="32"/>
          <w:szCs w:val="32"/>
          <w:lang w:eastAsia="zh-CN"/>
        </w:rPr>
        <w:t>附表：1</w:t>
      </w:r>
      <w:r>
        <w:rPr>
          <w:rFonts w:hint="eastAsia" w:eastAsia="仿宋_GB2312"/>
          <w:sz w:val="32"/>
          <w:szCs w:val="32"/>
          <w:lang w:val="en-US" w:eastAsia="zh-CN"/>
        </w:rPr>
        <w:t>.糖尿病</w:t>
      </w:r>
      <w:r>
        <w:rPr>
          <w:rFonts w:hint="eastAsia" w:eastAsia="仿宋_GB2312"/>
          <w:sz w:val="32"/>
          <w:szCs w:val="32"/>
          <w:lang w:eastAsia="zh-CN"/>
        </w:rPr>
        <w:t>示范门诊单元申请支撑材料</w:t>
      </w:r>
    </w:p>
    <w:p>
      <w:pPr>
        <w:keepNext w:val="0"/>
        <w:keepLines w:val="0"/>
        <w:pageBreakBefore w:val="0"/>
        <w:kinsoku/>
        <w:wordWrap/>
        <w:overflowPunct/>
        <w:topLinePunct w:val="0"/>
        <w:autoSpaceDE/>
        <w:autoSpaceDN/>
        <w:bidi w:val="0"/>
        <w:snapToGrid w:val="0"/>
        <w:spacing w:line="560" w:lineRule="exact"/>
        <w:ind w:firstLine="640" w:firstLineChars="200"/>
        <w:jc w:val="both"/>
        <w:textAlignment w:val="auto"/>
        <w:rPr>
          <w:rFonts w:hint="default" w:eastAsia="仿宋_GB2312"/>
          <w:sz w:val="32"/>
          <w:szCs w:val="32"/>
          <w:lang w:val="en-US" w:eastAsia="zh-CN"/>
        </w:rPr>
      </w:pPr>
      <w:r>
        <w:rPr>
          <w:rFonts w:hint="eastAsia" w:eastAsia="仿宋_GB2312"/>
          <w:sz w:val="32"/>
          <w:szCs w:val="32"/>
          <w:lang w:val="en-US" w:eastAsia="zh-CN"/>
        </w:rPr>
        <w:t xml:space="preserve">      2.糖尿病示范门诊单元申请机构能力评审表</w:t>
      </w:r>
    </w:p>
    <w:p>
      <w:pPr>
        <w:keepNext w:val="0"/>
        <w:keepLines w:val="0"/>
        <w:pageBreakBefore w:val="0"/>
        <w:kinsoku/>
        <w:wordWrap/>
        <w:overflowPunct/>
        <w:topLinePunct w:val="0"/>
        <w:autoSpaceDE/>
        <w:autoSpaceDN/>
        <w:bidi w:val="0"/>
        <w:ind w:firstLine="480" w:firstLineChars="200"/>
        <w:jc w:val="left"/>
        <w:textAlignment w:val="auto"/>
        <w:rPr>
          <w:rFonts w:ascii="Times New Roman" w:hAnsi="Times New Roman" w:eastAsia="黑体" w:cs="Times New Roman"/>
          <w:sz w:val="24"/>
          <w:szCs w:val="24"/>
        </w:rPr>
      </w:pPr>
    </w:p>
    <w:p>
      <w:pPr>
        <w:keepNext w:val="0"/>
        <w:keepLines w:val="0"/>
        <w:pageBreakBefore w:val="0"/>
        <w:kinsoku/>
        <w:wordWrap/>
        <w:overflowPunct/>
        <w:topLinePunct w:val="0"/>
        <w:autoSpaceDE/>
        <w:autoSpaceDN/>
        <w:bidi w:val="0"/>
        <w:ind w:firstLine="480" w:firstLineChars="200"/>
        <w:jc w:val="left"/>
        <w:textAlignment w:val="auto"/>
        <w:rPr>
          <w:rFonts w:ascii="Times New Roman" w:hAnsi="Times New Roman" w:eastAsia="黑体" w:cs="Times New Roman"/>
          <w:sz w:val="24"/>
          <w:szCs w:val="24"/>
        </w:rPr>
      </w:pPr>
    </w:p>
    <w:p>
      <w:pPr>
        <w:keepNext w:val="0"/>
        <w:keepLines w:val="0"/>
        <w:pageBreakBefore w:val="0"/>
        <w:kinsoku/>
        <w:wordWrap/>
        <w:overflowPunct/>
        <w:topLinePunct w:val="0"/>
        <w:autoSpaceDE/>
        <w:autoSpaceDN/>
        <w:bidi w:val="0"/>
        <w:ind w:firstLine="480" w:firstLineChars="200"/>
        <w:jc w:val="left"/>
        <w:textAlignment w:val="auto"/>
        <w:rPr>
          <w:rFonts w:ascii="Times New Roman" w:hAnsi="Times New Roman" w:eastAsia="黑体" w:cs="Times New Roman"/>
          <w:sz w:val="24"/>
          <w:szCs w:val="24"/>
        </w:rPr>
      </w:pPr>
    </w:p>
    <w:p>
      <w:pPr>
        <w:keepNext w:val="0"/>
        <w:keepLines w:val="0"/>
        <w:pageBreakBefore w:val="0"/>
        <w:kinsoku/>
        <w:wordWrap/>
        <w:overflowPunct/>
        <w:topLinePunct w:val="0"/>
        <w:autoSpaceDE/>
        <w:autoSpaceDN/>
        <w:bidi w:val="0"/>
        <w:ind w:firstLine="480" w:firstLineChars="200"/>
        <w:jc w:val="left"/>
        <w:textAlignment w:val="auto"/>
        <w:rPr>
          <w:rFonts w:ascii="Times New Roman" w:hAnsi="Times New Roman" w:eastAsia="黑体" w:cs="Times New Roman"/>
          <w:sz w:val="24"/>
          <w:szCs w:val="24"/>
        </w:rPr>
      </w:pPr>
    </w:p>
    <w:p>
      <w:pPr>
        <w:keepNext w:val="0"/>
        <w:keepLines w:val="0"/>
        <w:pageBreakBefore w:val="0"/>
        <w:kinsoku/>
        <w:wordWrap/>
        <w:overflowPunct/>
        <w:topLinePunct w:val="0"/>
        <w:autoSpaceDE/>
        <w:autoSpaceDN/>
        <w:bidi w:val="0"/>
        <w:ind w:firstLine="480" w:firstLineChars="200"/>
        <w:jc w:val="left"/>
        <w:textAlignment w:val="auto"/>
        <w:rPr>
          <w:rFonts w:ascii="Times New Roman" w:hAnsi="Times New Roman" w:eastAsia="黑体" w:cs="Times New Roman"/>
          <w:sz w:val="24"/>
          <w:szCs w:val="24"/>
        </w:rPr>
      </w:pPr>
    </w:p>
    <w:p>
      <w:pPr>
        <w:keepNext w:val="0"/>
        <w:keepLines w:val="0"/>
        <w:pageBreakBefore w:val="0"/>
        <w:kinsoku/>
        <w:wordWrap/>
        <w:overflowPunct/>
        <w:topLinePunct w:val="0"/>
        <w:autoSpaceDE/>
        <w:autoSpaceDN/>
        <w:bidi w:val="0"/>
        <w:ind w:firstLine="480" w:firstLineChars="200"/>
        <w:jc w:val="left"/>
        <w:textAlignment w:val="auto"/>
        <w:rPr>
          <w:rFonts w:ascii="Times New Roman" w:hAnsi="Times New Roman" w:eastAsia="黑体" w:cs="Times New Roman"/>
          <w:sz w:val="24"/>
          <w:szCs w:val="24"/>
        </w:rPr>
      </w:pPr>
    </w:p>
    <w:p>
      <w:pPr>
        <w:keepNext w:val="0"/>
        <w:keepLines w:val="0"/>
        <w:pageBreakBefore w:val="0"/>
        <w:kinsoku/>
        <w:wordWrap/>
        <w:overflowPunct/>
        <w:topLinePunct w:val="0"/>
        <w:autoSpaceDE/>
        <w:autoSpaceDN/>
        <w:bidi w:val="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表</w:t>
      </w:r>
      <w:r>
        <w:rPr>
          <w:rFonts w:hint="default" w:ascii="Times New Roman" w:hAnsi="Times New Roman" w:eastAsia="黑体" w:cs="Times New Roman"/>
          <w:sz w:val="32"/>
          <w:szCs w:val="32"/>
          <w:lang w:val="en-US" w:eastAsia="zh-CN"/>
        </w:rPr>
        <w:t>1</w:t>
      </w:r>
    </w:p>
    <w:p>
      <w:pPr>
        <w:spacing w:line="360" w:lineRule="auto"/>
        <w:jc w:val="center"/>
        <w:rPr>
          <w:rFonts w:ascii="Times New Roman" w:hAnsi="Times New Roman" w:eastAsia="黑体" w:cs="Times New Roman"/>
          <w:sz w:val="44"/>
          <w:szCs w:val="44"/>
        </w:rPr>
      </w:pPr>
      <w:r>
        <w:rPr>
          <w:rFonts w:hint="eastAsia" w:ascii="Times New Roman" w:hAnsi="Times New Roman" w:eastAsia="黑体" w:cs="Times New Roman"/>
          <w:sz w:val="44"/>
          <w:szCs w:val="44"/>
        </w:rPr>
        <w:t>糖尿病</w:t>
      </w:r>
      <w:r>
        <w:rPr>
          <w:rFonts w:hint="eastAsia" w:ascii="Times New Roman" w:hAnsi="Times New Roman" w:eastAsia="黑体" w:cs="Times New Roman"/>
          <w:sz w:val="44"/>
          <w:szCs w:val="44"/>
          <w:lang w:eastAsia="zh-CN"/>
        </w:rPr>
        <w:t>示范门诊单元</w:t>
      </w:r>
      <w:r>
        <w:rPr>
          <w:rFonts w:ascii="Times New Roman" w:hAnsi="Times New Roman" w:eastAsia="黑体" w:cs="Times New Roman"/>
          <w:sz w:val="44"/>
          <w:szCs w:val="44"/>
        </w:rPr>
        <w:t>申请机构支撑材料清单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1.机构法律地位证明文件复印件（工商营业执照、事业单位法人证书，或民办非企业单位登记证书）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2.医疗服务资质和规模的相关证明（服务人口数、糖尿病家医签约服务人数、门诊量）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3.机构组织管理体系框架图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4.糖尿病诊疗相关专业技术科室及人员配备情况说明（医师、护士、检验医师、药师等）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5.人员情况（序号、姓名、性别、出生年月、科室、职务、职称、执业类别、技术专长、参加培训情况）等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6.用于或计划用于糖尿病门诊及教育的场地及设施设备情况，包括场地图纸（标注坐落位置、面积与周围环境关系）、主要设施设备列表（名称、数量、资产额、适用范围）等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7.糖尿病相关药品目录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8.质量管理文件（糖尿病及其并发症诊疗路径、患者个案管理记录、门诊管理制度、疑难病例会诊制度、外派学习机制等）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9.机构管理制度文件（人员管理、岗位职责、服务质量管理、设施设备管理、消防及安全管理、突发事件管理、应急处置预案、绩效管理、疫情防控等）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10.消防验收合格证复印件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11.其他优势条件</w:t>
      </w:r>
    </w:p>
    <w:p>
      <w:pPr>
        <w:keepNext w:val="0"/>
        <w:keepLines w:val="0"/>
        <w:pageBreakBefore w:val="0"/>
        <w:kinsoku/>
        <w:wordWrap/>
        <w:overflowPunct/>
        <w:topLinePunct w:val="0"/>
        <w:autoSpaceDE/>
        <w:autoSpaceDN/>
        <w:bidi w:val="0"/>
        <w:jc w:val="left"/>
        <w:textAlignment w:val="auto"/>
        <w:rPr>
          <w:rFonts w:hint="default" w:ascii="Times New Roman" w:hAnsi="Times New Roman" w:eastAsia="黑体" w:cs="Times New Roman"/>
          <w:sz w:val="32"/>
          <w:szCs w:val="32"/>
          <w:lang w:eastAsia="zh-CN"/>
        </w:rPr>
      </w:pPr>
      <w:bookmarkStart w:id="0" w:name="_GoBack"/>
      <w:bookmarkEnd w:id="0"/>
      <w:r>
        <w:rPr>
          <w:rFonts w:hint="default" w:ascii="Times New Roman" w:hAnsi="Times New Roman" w:eastAsia="黑体" w:cs="Times New Roman"/>
          <w:sz w:val="32"/>
          <w:szCs w:val="32"/>
        </w:rPr>
        <w:t>附</w:t>
      </w:r>
      <w:r>
        <w:rPr>
          <w:rFonts w:hint="default" w:ascii="Times New Roman" w:hAnsi="Times New Roman" w:eastAsia="黑体" w:cs="Times New Roman"/>
          <w:sz w:val="32"/>
          <w:szCs w:val="32"/>
          <w:lang w:eastAsia="zh-CN"/>
        </w:rPr>
        <w:t>表</w:t>
      </w:r>
      <w:r>
        <w:rPr>
          <w:rFonts w:hint="default" w:ascii="Times New Roman" w:hAnsi="Times New Roman" w:eastAsia="黑体" w:cs="Times New Roman"/>
          <w:sz w:val="32"/>
          <w:szCs w:val="32"/>
          <w:lang w:val="en-US" w:eastAsia="zh-CN"/>
        </w:rPr>
        <w:t>2</w:t>
      </w:r>
    </w:p>
    <w:p>
      <w:pPr>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糖尿病</w:t>
      </w:r>
      <w:r>
        <w:rPr>
          <w:rFonts w:hint="eastAsia" w:ascii="Times New Roman" w:hAnsi="Times New Roman" w:eastAsia="黑体" w:cs="Times New Roman"/>
          <w:sz w:val="44"/>
          <w:szCs w:val="44"/>
          <w:lang w:eastAsia="zh-CN"/>
        </w:rPr>
        <w:t>示范门诊单元</w:t>
      </w:r>
      <w:r>
        <w:rPr>
          <w:rFonts w:hint="eastAsia" w:ascii="Times New Roman" w:hAnsi="Times New Roman" w:eastAsia="黑体" w:cs="Times New Roman"/>
          <w:sz w:val="44"/>
          <w:szCs w:val="44"/>
        </w:rPr>
        <w:t>申请机构能力评审表</w:t>
      </w:r>
    </w:p>
    <w:p>
      <w:pPr>
        <w:jc w:val="center"/>
        <w:rPr>
          <w:rFonts w:hint="eastAsia" w:ascii="Times New Roman" w:hAnsi="Times New Roman" w:eastAsia="黑体" w:cs="Times New Roman"/>
          <w:sz w:val="32"/>
          <w:szCs w:val="32"/>
        </w:rPr>
      </w:pPr>
    </w:p>
    <w:p>
      <w:pPr>
        <w:spacing w:line="440" w:lineRule="exact"/>
        <w:ind w:firstLine="240" w:firstLineChars="100"/>
        <w:jc w:val="left"/>
        <w:rPr>
          <w:rFonts w:hint="default" w:ascii="Times New Roman" w:hAnsi="Times New Roman" w:eastAsia="宋体" w:cs="Times New Roman"/>
          <w:sz w:val="24"/>
          <w:szCs w:val="24"/>
          <w:lang w:val="en-US" w:eastAsia="zh-CN"/>
        </w:rPr>
      </w:pPr>
      <w:r>
        <w:rPr>
          <w:rFonts w:ascii="Times New Roman" w:hAnsi="Times New Roman" w:eastAsia="宋体" w:cs="Times New Roman"/>
          <w:sz w:val="24"/>
          <w:szCs w:val="24"/>
        </w:rPr>
        <w:t>机构名称：</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b/>
          <w:bCs/>
          <w:sz w:val="24"/>
          <w:szCs w:val="24"/>
          <w:lang w:val="en-US" w:eastAsia="zh-CN"/>
        </w:rPr>
        <w:t xml:space="preserve">  </w:t>
      </w:r>
      <w:r>
        <w:rPr>
          <w:rFonts w:ascii="Times New Roman" w:hAnsi="Times New Roman" w:eastAsia="仿宋_GB2312" w:cs="Times New Roman"/>
          <w:b/>
          <w:bCs/>
          <w:sz w:val="24"/>
          <w:szCs w:val="24"/>
        </w:rPr>
        <w:t>“</w:t>
      </w:r>
      <w:r>
        <w:rPr>
          <w:rFonts w:hint="default" w:ascii="Times New Roman" w:hAnsi="Times New Roman" w:eastAsia="宋体" w:cs="Times New Roman"/>
          <w:b/>
          <w:bCs/>
          <w:sz w:val="24"/>
          <w:szCs w:val="24"/>
        </w:rPr>
        <w:t>★</w:t>
      </w:r>
      <w:r>
        <w:rPr>
          <w:rFonts w:ascii="Times New Roman" w:hAnsi="Times New Roman" w:eastAsia="仿宋_GB2312" w:cs="Times New Roman"/>
          <w:b/>
          <w:bCs/>
          <w:sz w:val="24"/>
          <w:szCs w:val="24"/>
        </w:rPr>
        <w:t>”标注</w:t>
      </w:r>
      <w:r>
        <w:rPr>
          <w:rFonts w:hint="eastAsia" w:ascii="Times New Roman" w:hAnsi="Times New Roman" w:eastAsia="仿宋_GB2312" w:cs="Times New Roman"/>
          <w:b/>
          <w:bCs/>
          <w:sz w:val="24"/>
          <w:szCs w:val="24"/>
          <w:lang w:eastAsia="zh-CN"/>
        </w:rPr>
        <w:t>为推荐条款</w:t>
      </w:r>
    </w:p>
    <w:tbl>
      <w:tblPr>
        <w:tblStyle w:val="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174"/>
        <w:gridCol w:w="2672"/>
        <w:gridCol w:w="1141"/>
        <w:gridCol w:w="509"/>
        <w:gridCol w:w="662"/>
        <w:gridCol w:w="649"/>
        <w:gridCol w:w="1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 w:type="pct"/>
            <w:vMerge w:val="restart"/>
            <w:noWrap w:val="0"/>
            <w:vAlign w:val="center"/>
          </w:tcPr>
          <w:p>
            <w:pPr>
              <w:spacing w:line="44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序号</w:t>
            </w:r>
          </w:p>
        </w:tc>
        <w:tc>
          <w:tcPr>
            <w:tcW w:w="2269" w:type="pct"/>
            <w:gridSpan w:val="2"/>
            <w:noWrap w:val="0"/>
            <w:vAlign w:val="center"/>
          </w:tcPr>
          <w:p>
            <w:pPr>
              <w:spacing w:line="44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评审项目</w:t>
            </w:r>
          </w:p>
        </w:tc>
        <w:tc>
          <w:tcPr>
            <w:tcW w:w="675" w:type="pct"/>
            <w:vMerge w:val="restart"/>
            <w:noWrap w:val="0"/>
            <w:vAlign w:val="center"/>
          </w:tcPr>
          <w:p>
            <w:pPr>
              <w:spacing w:line="44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审查方式</w:t>
            </w:r>
          </w:p>
        </w:tc>
        <w:tc>
          <w:tcPr>
            <w:tcW w:w="1084" w:type="pct"/>
            <w:gridSpan w:val="3"/>
            <w:noWrap w:val="0"/>
            <w:vAlign w:val="center"/>
          </w:tcPr>
          <w:p>
            <w:pPr>
              <w:spacing w:line="44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审查结果</w:t>
            </w:r>
          </w:p>
        </w:tc>
        <w:tc>
          <w:tcPr>
            <w:tcW w:w="740" w:type="pct"/>
            <w:vMerge w:val="restart"/>
            <w:noWrap w:val="0"/>
            <w:vAlign w:val="center"/>
          </w:tcPr>
          <w:p>
            <w:pPr>
              <w:spacing w:line="44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问题记录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230" w:type="pct"/>
            <w:vMerge w:val="continue"/>
            <w:tcBorders>
              <w:bottom w:val="single" w:color="auto" w:sz="4" w:space="0"/>
            </w:tcBorders>
            <w:noWrap w:val="0"/>
            <w:vAlign w:val="center"/>
          </w:tcPr>
          <w:p>
            <w:pPr>
              <w:spacing w:line="440" w:lineRule="exact"/>
              <w:jc w:val="center"/>
              <w:rPr>
                <w:rFonts w:hint="default" w:ascii="Times New Roman" w:hAnsi="Times New Roman" w:eastAsia="仿宋_GB2312" w:cs="Times New Roman"/>
                <w:b/>
                <w:bCs/>
                <w:sz w:val="24"/>
                <w:szCs w:val="24"/>
              </w:rPr>
            </w:pPr>
          </w:p>
        </w:tc>
        <w:tc>
          <w:tcPr>
            <w:tcW w:w="695" w:type="pct"/>
            <w:noWrap w:val="0"/>
            <w:vAlign w:val="center"/>
          </w:tcPr>
          <w:p>
            <w:pPr>
              <w:spacing w:line="44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项目明细</w:t>
            </w:r>
          </w:p>
        </w:tc>
        <w:tc>
          <w:tcPr>
            <w:tcW w:w="1573" w:type="pct"/>
            <w:noWrap w:val="0"/>
            <w:vAlign w:val="center"/>
          </w:tcPr>
          <w:p>
            <w:pPr>
              <w:spacing w:line="44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审查内容</w:t>
            </w:r>
          </w:p>
        </w:tc>
        <w:tc>
          <w:tcPr>
            <w:tcW w:w="675" w:type="pct"/>
            <w:vMerge w:val="continue"/>
            <w:noWrap w:val="0"/>
            <w:vAlign w:val="center"/>
          </w:tcPr>
          <w:p>
            <w:pPr>
              <w:spacing w:line="440" w:lineRule="exact"/>
              <w:jc w:val="center"/>
              <w:rPr>
                <w:rFonts w:hint="default" w:ascii="Times New Roman" w:hAnsi="Times New Roman" w:eastAsia="仿宋_GB2312" w:cs="Times New Roman"/>
                <w:b/>
                <w:bCs/>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合格</w:t>
            </w:r>
          </w:p>
        </w:tc>
        <w:tc>
          <w:tcPr>
            <w:tcW w:w="394" w:type="pct"/>
            <w:noWrap w:val="0"/>
            <w:vAlign w:val="center"/>
          </w:tcPr>
          <w:p>
            <w:pPr>
              <w:spacing w:line="440" w:lineRule="exact"/>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基本合格</w:t>
            </w:r>
          </w:p>
        </w:tc>
        <w:tc>
          <w:tcPr>
            <w:tcW w:w="386" w:type="pct"/>
            <w:noWrap w:val="0"/>
            <w:vAlign w:val="center"/>
          </w:tcPr>
          <w:p>
            <w:pPr>
              <w:spacing w:line="440" w:lineRule="exact"/>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不</w:t>
            </w:r>
          </w:p>
          <w:p>
            <w:pPr>
              <w:spacing w:line="440" w:lineRule="exact"/>
              <w:jc w:val="center"/>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lang w:eastAsia="zh-CN"/>
              </w:rPr>
              <w:t>合格</w:t>
            </w:r>
          </w:p>
        </w:tc>
        <w:tc>
          <w:tcPr>
            <w:tcW w:w="740" w:type="pct"/>
            <w:vMerge w:val="continue"/>
            <w:noWrap w:val="0"/>
            <w:vAlign w:val="center"/>
          </w:tcPr>
          <w:p>
            <w:pPr>
              <w:spacing w:line="440" w:lineRule="exact"/>
              <w:jc w:val="center"/>
              <w:rPr>
                <w:rFonts w:hint="default" w:ascii="Times New Roman" w:hAnsi="Times New Roman" w:eastAsia="仿宋_GB2312"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tcBorders>
              <w:right w:val="nil"/>
            </w:tcBorders>
            <w:noWrap w:val="0"/>
            <w:vAlign w:val="center"/>
          </w:tcPr>
          <w:p>
            <w:pPr>
              <w:spacing w:line="44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Ⅰ</w:t>
            </w:r>
          </w:p>
        </w:tc>
        <w:tc>
          <w:tcPr>
            <w:tcW w:w="4769" w:type="pct"/>
            <w:gridSpan w:val="7"/>
            <w:tcBorders>
              <w:left w:val="nil"/>
            </w:tcBorders>
            <w:noWrap w:val="0"/>
            <w:vAlign w:val="center"/>
          </w:tcPr>
          <w:p>
            <w:pPr>
              <w:spacing w:line="440" w:lineRule="exact"/>
              <w:jc w:val="left"/>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机构资质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695"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法律地位</w:t>
            </w:r>
          </w:p>
        </w:tc>
        <w:tc>
          <w:tcPr>
            <w:tcW w:w="1573"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法律地位证明文件</w:t>
            </w:r>
          </w:p>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18"/>
                <w:szCs w:val="18"/>
              </w:rPr>
              <w:t>（营业执照、事业单位法人证书，或民办非企业单位登记证书）</w:t>
            </w:r>
          </w:p>
        </w:tc>
        <w:tc>
          <w:tcPr>
            <w:tcW w:w="675"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文件</w:t>
            </w:r>
            <w:r>
              <w:rPr>
                <w:rFonts w:hint="default" w:ascii="Times New Roman" w:hAnsi="Times New Roman" w:eastAsia="仿宋_GB2312" w:cs="Times New Roman"/>
                <w:sz w:val="24"/>
                <w:szCs w:val="24"/>
                <w:lang w:eastAsia="zh-CN"/>
              </w:rPr>
              <w:t>查阅</w:t>
            </w: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695"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服务规模</w:t>
            </w:r>
          </w:p>
        </w:tc>
        <w:tc>
          <w:tcPr>
            <w:tcW w:w="1573"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社区服务中心医疗资质和规模证明</w:t>
            </w:r>
            <w:r>
              <w:rPr>
                <w:rFonts w:hint="default" w:ascii="Times New Roman" w:hAnsi="Times New Roman" w:eastAsia="仿宋_GB2312" w:cs="Times New Roman"/>
                <w:sz w:val="18"/>
                <w:szCs w:val="18"/>
              </w:rPr>
              <w:t>（服务人口数、家医签约服务人数、门诊量）</w:t>
            </w:r>
          </w:p>
        </w:tc>
        <w:tc>
          <w:tcPr>
            <w:tcW w:w="675"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文件</w:t>
            </w:r>
            <w:r>
              <w:rPr>
                <w:rFonts w:hint="default" w:ascii="Times New Roman" w:hAnsi="Times New Roman" w:eastAsia="仿宋_GB2312" w:cs="Times New Roman"/>
                <w:sz w:val="24"/>
                <w:szCs w:val="24"/>
              </w:rPr>
              <w:t>查阅</w:t>
            </w: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restart"/>
            <w:noWrap w:val="0"/>
            <w:vAlign w:val="center"/>
          </w:tcPr>
          <w:p>
            <w:pPr>
              <w:spacing w:line="4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w:t>
            </w:r>
          </w:p>
        </w:tc>
        <w:tc>
          <w:tcPr>
            <w:tcW w:w="695" w:type="pct"/>
            <w:vMerge w:val="restar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前置条件</w:t>
            </w: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医疗安全</w:t>
            </w:r>
          </w:p>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18"/>
                <w:szCs w:val="18"/>
                <w:lang w:eastAsia="zh-CN"/>
              </w:rPr>
              <w:t>（前一年及当年未发生经鉴定定性为二级及以上负主要责任的医疗事故）</w:t>
            </w:r>
          </w:p>
        </w:tc>
        <w:tc>
          <w:tcPr>
            <w:tcW w:w="675"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现场审查</w:t>
            </w: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lang w:val="en-US" w:eastAsia="zh-CN"/>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机构管理</w:t>
            </w:r>
          </w:p>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18"/>
                <w:szCs w:val="18"/>
                <w:lang w:eastAsia="zh-CN"/>
              </w:rPr>
              <w:t>（无对外出租、承包内部科室等行为）</w:t>
            </w:r>
          </w:p>
        </w:tc>
        <w:tc>
          <w:tcPr>
            <w:tcW w:w="675"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现场审查</w:t>
            </w: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tcBorders>
              <w:right w:val="nil"/>
            </w:tcBorders>
            <w:noWrap w:val="0"/>
            <w:vAlign w:val="center"/>
          </w:tcPr>
          <w:p>
            <w:pPr>
              <w:spacing w:line="440" w:lineRule="exact"/>
              <w:jc w:val="center"/>
              <w:rPr>
                <w:rFonts w:hint="default" w:ascii="Times New Roman" w:hAnsi="Times New Roman" w:eastAsia="仿宋_GB2312" w:cs="Times New Roman"/>
                <w:b/>
                <w:bCs/>
                <w:sz w:val="24"/>
                <w:szCs w:val="24"/>
              </w:rPr>
            </w:pPr>
            <w:r>
              <w:rPr>
                <w:rFonts w:hint="default" w:ascii="Times New Roman" w:hAnsi="Times New Roman" w:eastAsia="仿宋_GB2312" w:cs="Times New Roman"/>
                <w:b/>
                <w:bCs/>
                <w:sz w:val="24"/>
                <w:szCs w:val="24"/>
              </w:rPr>
              <w:t>Ⅱ</w:t>
            </w:r>
          </w:p>
        </w:tc>
        <w:tc>
          <w:tcPr>
            <w:tcW w:w="4769" w:type="pct"/>
            <w:gridSpan w:val="7"/>
            <w:tcBorders>
              <w:left w:val="nil"/>
            </w:tcBorders>
            <w:noWrap w:val="0"/>
            <w:vAlign w:val="center"/>
          </w:tcPr>
          <w:p>
            <w:pPr>
              <w:spacing w:line="440" w:lineRule="exact"/>
              <w:jc w:val="left"/>
              <w:rPr>
                <w:rFonts w:hint="default" w:ascii="Times New Roman" w:hAnsi="Times New Roman" w:eastAsia="仿宋_GB2312" w:cs="Times New Roman"/>
                <w:b/>
                <w:bCs/>
                <w:sz w:val="24"/>
                <w:szCs w:val="24"/>
                <w:lang w:eastAsia="zh-CN"/>
              </w:rPr>
            </w:pPr>
            <w:r>
              <w:rPr>
                <w:rFonts w:hint="default" w:ascii="Times New Roman" w:hAnsi="Times New Roman" w:eastAsia="仿宋_GB2312" w:cs="Times New Roman"/>
                <w:b/>
                <w:bCs/>
                <w:sz w:val="24"/>
                <w:szCs w:val="24"/>
              </w:rPr>
              <w:t>机构</w:t>
            </w:r>
            <w:r>
              <w:rPr>
                <w:rFonts w:hint="default" w:ascii="Times New Roman" w:hAnsi="Times New Roman" w:eastAsia="仿宋_GB2312" w:cs="Times New Roman"/>
                <w:b/>
                <w:bCs/>
                <w:sz w:val="24"/>
                <w:szCs w:val="24"/>
                <w:lang w:eastAsia="zh-CN"/>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w:t>
            </w:r>
          </w:p>
        </w:tc>
        <w:tc>
          <w:tcPr>
            <w:tcW w:w="695"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组织管理</w:t>
            </w:r>
          </w:p>
        </w:tc>
        <w:tc>
          <w:tcPr>
            <w:tcW w:w="1573"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管理体系结构图</w:t>
            </w:r>
          </w:p>
        </w:tc>
        <w:tc>
          <w:tcPr>
            <w:tcW w:w="675"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文件查阅</w:t>
            </w: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6" w:hRule="atLeast"/>
        </w:trPr>
        <w:tc>
          <w:tcPr>
            <w:tcW w:w="230" w:type="pct"/>
            <w:vMerge w:val="restart"/>
            <w:noWrap w:val="0"/>
            <w:vAlign w:val="center"/>
          </w:tcPr>
          <w:p>
            <w:pPr>
              <w:spacing w:line="4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695" w:type="pct"/>
            <w:vMerge w:val="restar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科室设置</w:t>
            </w:r>
          </w:p>
        </w:tc>
        <w:tc>
          <w:tcPr>
            <w:tcW w:w="1573" w:type="pct"/>
            <w:noWrap w:val="0"/>
            <w:vAlign w:val="center"/>
          </w:tcPr>
          <w:p>
            <w:pPr>
              <w:numPr>
                <w:ilvl w:val="0"/>
                <w:numId w:val="0"/>
              </w:numPr>
              <w:jc w:val="both"/>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临床科室</w:t>
            </w:r>
            <w:r>
              <w:rPr>
                <w:rFonts w:hint="default" w:ascii="Times New Roman" w:hAnsi="Times New Roman" w:eastAsia="仿宋_GB2312" w:cs="Times New Roman"/>
                <w:sz w:val="18"/>
                <w:szCs w:val="18"/>
                <w:lang w:eastAsia="zh-CN"/>
              </w:rPr>
              <w:t>（</w:t>
            </w:r>
            <w:r>
              <w:rPr>
                <w:rFonts w:hint="default" w:ascii="Times New Roman" w:hAnsi="Times New Roman" w:eastAsia="仿宋_GB2312" w:cs="Times New Roman"/>
                <w:sz w:val="18"/>
                <w:szCs w:val="18"/>
                <w:lang w:val="en-US" w:eastAsia="zh-CN"/>
              </w:rPr>
              <w:t>设置糖尿病门诊诊室、患者教育空间、抢救室、预检分诊台。其中要求</w:t>
            </w:r>
            <w:r>
              <w:rPr>
                <w:rFonts w:hint="default" w:ascii="Times New Roman" w:hAnsi="Times New Roman" w:eastAsia="仿宋_GB2312" w:cs="Times New Roman"/>
                <w:sz w:val="18"/>
                <w:szCs w:val="18"/>
              </w:rPr>
              <w:t>具备独立门诊工作区域，有相对独立的教育空间</w:t>
            </w:r>
            <w:r>
              <w:rPr>
                <w:rFonts w:hint="default" w:ascii="Times New Roman" w:hAnsi="Times New Roman" w:eastAsia="仿宋_GB2312" w:cs="Times New Roman"/>
                <w:sz w:val="18"/>
                <w:szCs w:val="18"/>
                <w:lang w:eastAsia="zh-CN"/>
              </w:rPr>
              <w:t>：①</w:t>
            </w:r>
            <w:r>
              <w:rPr>
                <w:rFonts w:hint="default" w:ascii="Times New Roman" w:hAnsi="Times New Roman" w:eastAsia="仿宋_GB2312" w:cs="Times New Roman"/>
                <w:sz w:val="18"/>
                <w:szCs w:val="18"/>
              </w:rPr>
              <w:t>面积</w:t>
            </w:r>
            <w:r>
              <w:rPr>
                <w:rFonts w:hint="default" w:ascii="Times New Roman" w:hAnsi="Times New Roman" w:eastAsia="仿宋_GB2312" w:cs="Times New Roman"/>
                <w:sz w:val="18"/>
                <w:szCs w:val="18"/>
                <w:lang w:eastAsia="zh-CN"/>
              </w:rPr>
              <w:t>大于</w:t>
            </w:r>
            <w:r>
              <w:rPr>
                <w:rFonts w:hint="default" w:ascii="Times New Roman" w:hAnsi="Times New Roman" w:eastAsia="仿宋_GB2312" w:cs="Times New Roman"/>
                <w:sz w:val="18"/>
                <w:szCs w:val="18"/>
              </w:rPr>
              <w:t>5平方米</w:t>
            </w:r>
            <w:r>
              <w:rPr>
                <w:rFonts w:hint="default" w:ascii="Times New Roman" w:hAnsi="Times New Roman" w:eastAsia="仿宋_GB2312" w:cs="Times New Roman"/>
                <w:sz w:val="18"/>
                <w:szCs w:val="18"/>
                <w:lang w:eastAsia="zh-CN"/>
              </w:rPr>
              <w:t>，通风并阳光充足；②有洗手池和消毒凝胶方便为患者检查后的手消；③</w:t>
            </w:r>
            <w:r>
              <w:rPr>
                <w:rFonts w:hint="default" w:ascii="Times New Roman" w:hAnsi="Times New Roman" w:eastAsia="仿宋_GB2312" w:cs="Times New Roman"/>
                <w:sz w:val="18"/>
                <w:szCs w:val="18"/>
                <w:lang w:val="en-US" w:eastAsia="zh-CN"/>
              </w:rPr>
              <w:t>通过展板、宣教处方、教育工具展示等营造良好的诊室氛围。</w:t>
            </w:r>
            <w:r>
              <w:rPr>
                <w:rFonts w:hint="default" w:ascii="Times New Roman" w:hAnsi="Times New Roman" w:eastAsia="仿宋_GB2312" w:cs="Times New Roman"/>
                <w:sz w:val="18"/>
                <w:szCs w:val="18"/>
                <w:lang w:eastAsia="zh-CN"/>
              </w:rPr>
              <w:t>）</w:t>
            </w:r>
          </w:p>
        </w:tc>
        <w:tc>
          <w:tcPr>
            <w:tcW w:w="675"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现场审查</w:t>
            </w: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lang w:val="en-US" w:eastAsia="zh-CN"/>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其他科室</w:t>
            </w:r>
            <w:r>
              <w:rPr>
                <w:rFonts w:hint="default" w:ascii="Times New Roman" w:hAnsi="Times New Roman" w:eastAsia="仿宋_GB2312" w:cs="Times New Roman"/>
                <w:sz w:val="18"/>
                <w:szCs w:val="18"/>
                <w:lang w:eastAsia="zh-CN"/>
              </w:rPr>
              <w:t>（设置药房、检验科、放射科、B超/心电图室、健康信息管理室、消毒供应室）</w:t>
            </w:r>
          </w:p>
        </w:tc>
        <w:tc>
          <w:tcPr>
            <w:tcW w:w="675"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现场审查</w:t>
            </w: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restar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3</w:t>
            </w:r>
          </w:p>
        </w:tc>
        <w:tc>
          <w:tcPr>
            <w:tcW w:w="695" w:type="pct"/>
            <w:vMerge w:val="restar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人员配备</w:t>
            </w: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医师</w:t>
            </w:r>
          </w:p>
        </w:tc>
        <w:tc>
          <w:tcPr>
            <w:tcW w:w="675" w:type="pct"/>
            <w:vMerge w:val="restar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文件查阅</w:t>
            </w:r>
          </w:p>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现场审查</w:t>
            </w:r>
          </w:p>
          <w:p>
            <w:pPr>
              <w:spacing w:line="440" w:lineRule="exact"/>
              <w:jc w:val="center"/>
              <w:rPr>
                <w:rFonts w:hint="default" w:ascii="Times New Roman" w:hAnsi="Times New Roman" w:eastAsia="仿宋_GB2312" w:cs="Times New Roman"/>
                <w:sz w:val="24"/>
                <w:szCs w:val="24"/>
                <w:lang w:eastAsia="zh-CN"/>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患者教育人员</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检验医师</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药师</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24"/>
                <w:szCs w:val="24"/>
                <w:lang w:eastAsia="zh-CN"/>
              </w:rPr>
              <w:t>健康管理师、体育运动指导师、心理咨询师、社(义)工等</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restart"/>
            <w:noWrap w:val="0"/>
            <w:vAlign w:val="center"/>
          </w:tcPr>
          <w:p>
            <w:pPr>
              <w:spacing w:line="4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4</w:t>
            </w:r>
          </w:p>
        </w:tc>
        <w:tc>
          <w:tcPr>
            <w:tcW w:w="695" w:type="pct"/>
            <w:vMerge w:val="restar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设施设备</w:t>
            </w:r>
          </w:p>
        </w:tc>
        <w:tc>
          <w:tcPr>
            <w:tcW w:w="1573" w:type="pct"/>
            <w:noWrap w:val="0"/>
            <w:vAlign w:val="center"/>
          </w:tcPr>
          <w:p>
            <w:pPr>
              <w:spacing w:line="44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24"/>
                <w:szCs w:val="24"/>
                <w:lang w:eastAsia="zh-CN"/>
              </w:rPr>
              <w:t>基础设施</w:t>
            </w:r>
            <w:r>
              <w:rPr>
                <w:rFonts w:hint="default" w:ascii="Times New Roman" w:hAnsi="Times New Roman" w:eastAsia="仿宋_GB2312" w:cs="Times New Roman"/>
                <w:sz w:val="18"/>
                <w:szCs w:val="18"/>
                <w:lang w:eastAsia="zh-CN"/>
              </w:rPr>
              <w:t>（诊桌、诊椅、电脑、打印机、文件柜等）</w:t>
            </w:r>
          </w:p>
        </w:tc>
        <w:tc>
          <w:tcPr>
            <w:tcW w:w="675" w:type="pct"/>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lang w:val="en-US" w:eastAsia="zh-CN"/>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必备设备</w:t>
            </w:r>
            <w:r>
              <w:rPr>
                <w:rFonts w:hint="default" w:ascii="Times New Roman" w:hAnsi="Times New Roman" w:eastAsia="仿宋_GB2312" w:cs="Times New Roman"/>
                <w:sz w:val="18"/>
                <w:szCs w:val="18"/>
                <w:lang w:eastAsia="zh-CN"/>
              </w:rPr>
              <w:t>（便携式血糖仪、血生化分析仪、尿常规分析仪、血压计、身高体重计、测量腰围的软尺、128Hz 音叉、10g 尼龙单丝、叩诊锤、视力表、足部检查相关）</w:t>
            </w:r>
          </w:p>
        </w:tc>
        <w:tc>
          <w:tcPr>
            <w:tcW w:w="675" w:type="pct"/>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lang w:val="en-US" w:eastAsia="zh-CN"/>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其他应配备设备</w:t>
            </w:r>
            <w:r>
              <w:rPr>
                <w:rFonts w:hint="default" w:ascii="Times New Roman" w:hAnsi="Times New Roman" w:eastAsia="仿宋_GB2312" w:cs="Times New Roman"/>
                <w:sz w:val="18"/>
                <w:szCs w:val="18"/>
                <w:lang w:eastAsia="zh-CN"/>
              </w:rPr>
              <w:t>（血常规分析仪、心电图机）</w:t>
            </w:r>
          </w:p>
        </w:tc>
        <w:tc>
          <w:tcPr>
            <w:tcW w:w="675" w:type="pct"/>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lang w:val="en-US" w:eastAsia="zh-CN"/>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教育工具</w:t>
            </w:r>
            <w:r>
              <w:rPr>
                <w:rFonts w:hint="default" w:ascii="Times New Roman" w:hAnsi="Times New Roman" w:eastAsia="仿宋_GB2312" w:cs="Times New Roman"/>
                <w:sz w:val="18"/>
                <w:szCs w:val="18"/>
                <w:lang w:eastAsia="zh-CN"/>
              </w:rPr>
              <w:t>（饮食模具及标准杯盘、胰岛素注射示教笔及常见胰岛素类型、足部护理指导箱、血糖监测箱）</w:t>
            </w:r>
          </w:p>
        </w:tc>
        <w:tc>
          <w:tcPr>
            <w:tcW w:w="675" w:type="pct"/>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lang w:val="en-US" w:eastAsia="zh-CN"/>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★有条件的机构可配备</w:t>
            </w:r>
            <w:r>
              <w:rPr>
                <w:rFonts w:hint="default" w:ascii="Times New Roman" w:hAnsi="Times New Roman" w:eastAsia="仿宋_GB2312" w:cs="Times New Roman"/>
                <w:sz w:val="18"/>
                <w:szCs w:val="18"/>
                <w:lang w:eastAsia="zh-CN"/>
              </w:rPr>
              <w:t>（糖化血红蛋白检测仪、眼底镜、免散瞳眼底照相机、通过信息系统实现数据实时上传的检测设备等）</w:t>
            </w:r>
          </w:p>
        </w:tc>
        <w:tc>
          <w:tcPr>
            <w:tcW w:w="675" w:type="pct"/>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lang w:val="en-US" w:eastAsia="zh-CN"/>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★有条件的机构可配备检查化验数据实时上传系统</w:t>
            </w:r>
          </w:p>
        </w:tc>
        <w:tc>
          <w:tcPr>
            <w:tcW w:w="675" w:type="pct"/>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noWrap w:val="0"/>
            <w:vAlign w:val="center"/>
          </w:tcPr>
          <w:p>
            <w:pPr>
              <w:spacing w:line="440" w:lineRule="exact"/>
              <w:jc w:val="left"/>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b/>
                <w:bCs/>
                <w:sz w:val="24"/>
                <w:szCs w:val="24"/>
                <w:lang w:val="en-US" w:eastAsia="zh-CN"/>
              </w:rPr>
              <w:t>III机构管理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restart"/>
            <w:noWrap w:val="0"/>
            <w:vAlign w:val="center"/>
          </w:tcPr>
          <w:p>
            <w:pPr>
              <w:spacing w:line="4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695" w:type="pct"/>
            <w:vMerge w:val="restar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质量管理</w:t>
            </w: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糖尿病及其并发症诊疗路径</w:t>
            </w:r>
          </w:p>
        </w:tc>
        <w:tc>
          <w:tcPr>
            <w:tcW w:w="675" w:type="pct"/>
            <w:vMerge w:val="restar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文件查阅</w:t>
            </w: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患者个案管理记录</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门诊管理制度</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疑难病例会诊制度</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外派学习机制</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★其他质量管理亮点</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restar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val="en-US" w:eastAsia="zh-CN"/>
              </w:rPr>
              <w:t>2</w:t>
            </w:r>
          </w:p>
        </w:tc>
        <w:tc>
          <w:tcPr>
            <w:tcW w:w="695" w:type="pct"/>
            <w:vMerge w:val="restar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其他</w:t>
            </w:r>
            <w:r>
              <w:rPr>
                <w:rFonts w:hint="default" w:ascii="Times New Roman" w:hAnsi="Times New Roman" w:eastAsia="仿宋_GB2312" w:cs="Times New Roman"/>
                <w:sz w:val="24"/>
                <w:szCs w:val="24"/>
              </w:rPr>
              <w:t>管理</w:t>
            </w:r>
          </w:p>
        </w:tc>
        <w:tc>
          <w:tcPr>
            <w:tcW w:w="1573"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人员管理</w:t>
            </w:r>
          </w:p>
        </w:tc>
        <w:tc>
          <w:tcPr>
            <w:tcW w:w="675" w:type="pct"/>
            <w:vMerge w:val="restar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文件查阅</w:t>
            </w: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岗位职责</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服务质量管理</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1573" w:type="pct"/>
            <w:noWrap w:val="0"/>
            <w:vAlign w:val="center"/>
          </w:tcPr>
          <w:p>
            <w:pPr>
              <w:spacing w:line="4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设施设备管理</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1573" w:type="pct"/>
            <w:noWrap w:val="0"/>
            <w:vAlign w:val="center"/>
          </w:tcPr>
          <w:p>
            <w:pPr>
              <w:spacing w:line="4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消防及安全管理</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1573" w:type="pct"/>
            <w:noWrap w:val="0"/>
            <w:vAlign w:val="center"/>
          </w:tcPr>
          <w:p>
            <w:pPr>
              <w:spacing w:line="4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突发事件管理</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应急处置预案</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vMerge w:val="restar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绩效管理</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Merge w:val="continue"/>
            <w:tcBorders>
              <w:bottom w:val="single" w:color="auto" w:sz="4" w:space="0"/>
            </w:tcBorders>
            <w:noWrap w:val="0"/>
            <w:vAlign w:val="center"/>
          </w:tcPr>
          <w:p>
            <w:pPr>
              <w:spacing w:line="440" w:lineRule="exact"/>
              <w:jc w:val="center"/>
              <w:rPr>
                <w:rFonts w:hint="default" w:ascii="Times New Roman" w:hAnsi="Times New Roman" w:eastAsia="仿宋_GB2312" w:cs="Times New Roman"/>
                <w:sz w:val="24"/>
                <w:szCs w:val="24"/>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疫情防控</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noWrap w:val="0"/>
            <w:vAlign w:val="center"/>
          </w:tcPr>
          <w:p>
            <w:pPr>
              <w:spacing w:line="44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IV药品保障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 w:type="pct"/>
            <w:vMerge w:val="restart"/>
            <w:noWrap w:val="0"/>
            <w:vAlign w:val="center"/>
          </w:tcPr>
          <w:p>
            <w:pPr>
              <w:spacing w:line="4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695" w:type="pct"/>
            <w:vMerge w:val="restar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基本药品保障</w:t>
            </w: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二甲双胍</w:t>
            </w:r>
          </w:p>
        </w:tc>
        <w:tc>
          <w:tcPr>
            <w:tcW w:w="675" w:type="pct"/>
            <w:vMerge w:val="restar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现场审查</w:t>
            </w: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lang w:val="en-US" w:eastAsia="zh-CN"/>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胰岛素促泌剂</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lang w:val="en-US" w:eastAsia="zh-CN"/>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α-糖苷酶抑制剂</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lang w:val="en-US" w:eastAsia="zh-CN"/>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噻唑烷二酮类（TZDs)药物</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 w:type="pct"/>
            <w:vMerge w:val="continue"/>
            <w:noWrap w:val="0"/>
            <w:vAlign w:val="center"/>
          </w:tcPr>
          <w:p>
            <w:pPr>
              <w:spacing w:line="440" w:lineRule="exact"/>
              <w:jc w:val="center"/>
              <w:rPr>
                <w:rFonts w:hint="default" w:ascii="Times New Roman" w:hAnsi="Times New Roman" w:eastAsia="仿宋_GB2312" w:cs="Times New Roman"/>
                <w:sz w:val="24"/>
                <w:szCs w:val="24"/>
                <w:lang w:val="en-US" w:eastAsia="zh-CN"/>
              </w:rPr>
            </w:pPr>
          </w:p>
        </w:tc>
        <w:tc>
          <w:tcPr>
            <w:tcW w:w="695" w:type="pct"/>
            <w:vMerge w:val="continue"/>
            <w:noWrap w:val="0"/>
            <w:vAlign w:val="center"/>
          </w:tcPr>
          <w:p>
            <w:pPr>
              <w:spacing w:line="440" w:lineRule="exact"/>
              <w:jc w:val="center"/>
              <w:rPr>
                <w:rFonts w:hint="default" w:ascii="Times New Roman" w:hAnsi="Times New Roman" w:eastAsia="仿宋_GB2312" w:cs="Times New Roman"/>
                <w:sz w:val="24"/>
                <w:szCs w:val="24"/>
                <w:lang w:eastAsia="zh-CN"/>
              </w:rPr>
            </w:pP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胰岛素</w:t>
            </w:r>
          </w:p>
        </w:tc>
        <w:tc>
          <w:tcPr>
            <w:tcW w:w="675" w:type="pct"/>
            <w:vMerge w:val="continue"/>
            <w:noWrap w:val="0"/>
            <w:vAlign w:val="center"/>
          </w:tcPr>
          <w:p>
            <w:pPr>
              <w:spacing w:line="440" w:lineRule="exact"/>
              <w:jc w:val="center"/>
              <w:rPr>
                <w:rFonts w:hint="default" w:ascii="Times New Roman" w:hAnsi="Times New Roman" w:eastAsia="仿宋_GB2312" w:cs="Times New Roman"/>
                <w:sz w:val="24"/>
                <w:szCs w:val="24"/>
              </w:rPr>
            </w:pP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 w:type="pct"/>
            <w:noWrap w:val="0"/>
            <w:vAlign w:val="center"/>
          </w:tcPr>
          <w:p>
            <w:pPr>
              <w:spacing w:line="4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695"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其他</w:t>
            </w:r>
          </w:p>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药品</w:t>
            </w:r>
          </w:p>
        </w:tc>
        <w:tc>
          <w:tcPr>
            <w:tcW w:w="1573"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24"/>
                <w:szCs w:val="24"/>
                <w:lang w:eastAsia="zh-CN"/>
              </w:rPr>
              <w:t>有条件的机构可配备</w:t>
            </w:r>
            <w:r>
              <w:rPr>
                <w:rFonts w:hint="default" w:ascii="Times New Roman" w:hAnsi="Times New Roman" w:eastAsia="仿宋_GB2312" w:cs="Times New Roman"/>
                <w:sz w:val="18"/>
                <w:szCs w:val="18"/>
                <w:lang w:eastAsia="zh-CN"/>
              </w:rPr>
              <w:t>（DPP-4抑制剂、SGLT-2抑制剂、GLP-1受体激动剂等新型口服药物）</w:t>
            </w:r>
          </w:p>
        </w:tc>
        <w:tc>
          <w:tcPr>
            <w:tcW w:w="675"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现场审查</w:t>
            </w: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8"/>
            <w:noWrap w:val="0"/>
            <w:vAlign w:val="center"/>
          </w:tcPr>
          <w:p>
            <w:pPr>
              <w:spacing w:line="440" w:lineRule="exact"/>
              <w:jc w:val="left"/>
              <w:rPr>
                <w:rFonts w:hint="default" w:ascii="Times New Roman" w:hAnsi="Times New Roman" w:eastAsia="仿宋_GB2312" w:cs="Times New Roman"/>
                <w:sz w:val="24"/>
                <w:szCs w:val="24"/>
              </w:rPr>
            </w:pPr>
            <w:r>
              <w:rPr>
                <w:rFonts w:hint="default" w:ascii="Times New Roman" w:hAnsi="Times New Roman" w:eastAsia="仿宋_GB2312" w:cs="Times New Roman"/>
                <w:b/>
                <w:bCs/>
                <w:sz w:val="24"/>
                <w:szCs w:val="24"/>
                <w:lang w:val="en-US" w:eastAsia="zh-CN"/>
              </w:rPr>
              <w:t>V其他亮点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noWrap w:val="0"/>
            <w:vAlign w:val="center"/>
          </w:tcPr>
          <w:p>
            <w:pPr>
              <w:spacing w:line="4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w:t>
            </w:r>
          </w:p>
        </w:tc>
        <w:tc>
          <w:tcPr>
            <w:tcW w:w="695"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转诊能力</w:t>
            </w:r>
          </w:p>
        </w:tc>
        <w:tc>
          <w:tcPr>
            <w:tcW w:w="1573" w:type="pct"/>
            <w:noWrap w:val="0"/>
            <w:vAlign w:val="center"/>
          </w:tcPr>
          <w:p>
            <w:pPr>
              <w:spacing w:line="4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c>
          <w:tcPr>
            <w:tcW w:w="675" w:type="pct"/>
            <w:noWrap w:val="0"/>
            <w:vAlign w:val="center"/>
          </w:tcPr>
          <w:p>
            <w:pPr>
              <w:spacing w:line="4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eastAsia="zh-CN"/>
              </w:rPr>
              <w:t>文件查阅</w:t>
            </w: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 w:type="pct"/>
            <w:noWrap w:val="0"/>
            <w:vAlign w:val="center"/>
          </w:tcPr>
          <w:p>
            <w:pPr>
              <w:spacing w:line="4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w:t>
            </w:r>
          </w:p>
        </w:tc>
        <w:tc>
          <w:tcPr>
            <w:tcW w:w="695"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糖尿病并发症诊治</w:t>
            </w:r>
          </w:p>
        </w:tc>
        <w:tc>
          <w:tcPr>
            <w:tcW w:w="1573" w:type="pct"/>
            <w:noWrap w:val="0"/>
            <w:vAlign w:val="center"/>
          </w:tcPr>
          <w:p>
            <w:pPr>
              <w:spacing w:line="4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p>
        </w:tc>
        <w:tc>
          <w:tcPr>
            <w:tcW w:w="675" w:type="pct"/>
            <w:noWrap w:val="0"/>
            <w:vAlign w:val="center"/>
          </w:tcPr>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文件查阅</w:t>
            </w:r>
          </w:p>
          <w:p>
            <w:pPr>
              <w:spacing w:line="44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现场审查</w:t>
            </w:r>
          </w:p>
        </w:tc>
        <w:tc>
          <w:tcPr>
            <w:tcW w:w="304" w:type="pct"/>
            <w:noWrap w:val="0"/>
            <w:vAlign w:val="center"/>
          </w:tcPr>
          <w:p>
            <w:pPr>
              <w:spacing w:line="440" w:lineRule="exact"/>
              <w:jc w:val="center"/>
              <w:rPr>
                <w:rFonts w:hint="default" w:ascii="Times New Roman" w:hAnsi="Times New Roman" w:eastAsia="仿宋_GB2312" w:cs="Times New Roman"/>
                <w:sz w:val="24"/>
                <w:szCs w:val="24"/>
              </w:rPr>
            </w:pPr>
          </w:p>
        </w:tc>
        <w:tc>
          <w:tcPr>
            <w:tcW w:w="394" w:type="pct"/>
            <w:noWrap w:val="0"/>
            <w:vAlign w:val="center"/>
          </w:tcPr>
          <w:p>
            <w:pPr>
              <w:spacing w:line="440" w:lineRule="exact"/>
              <w:jc w:val="center"/>
              <w:rPr>
                <w:rFonts w:hint="default" w:ascii="Times New Roman" w:hAnsi="Times New Roman" w:eastAsia="仿宋_GB2312" w:cs="Times New Roman"/>
                <w:sz w:val="24"/>
                <w:szCs w:val="24"/>
              </w:rPr>
            </w:pPr>
          </w:p>
        </w:tc>
        <w:tc>
          <w:tcPr>
            <w:tcW w:w="386" w:type="pct"/>
            <w:noWrap w:val="0"/>
            <w:vAlign w:val="center"/>
          </w:tcPr>
          <w:p>
            <w:pPr>
              <w:spacing w:line="440" w:lineRule="exact"/>
              <w:jc w:val="center"/>
              <w:rPr>
                <w:rFonts w:hint="default" w:ascii="Times New Roman" w:hAnsi="Times New Roman" w:eastAsia="仿宋_GB2312" w:cs="Times New Roman"/>
                <w:sz w:val="24"/>
                <w:szCs w:val="24"/>
              </w:rPr>
            </w:pPr>
          </w:p>
        </w:tc>
        <w:tc>
          <w:tcPr>
            <w:tcW w:w="740" w:type="pct"/>
            <w:noWrap w:val="0"/>
            <w:vAlign w:val="center"/>
          </w:tcPr>
          <w:p>
            <w:pPr>
              <w:spacing w:line="44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230" w:type="pct"/>
            <w:noWrap w:val="0"/>
            <w:vAlign w:val="center"/>
          </w:tcPr>
          <w:p>
            <w:pPr>
              <w:spacing w:before="312" w:beforeLines="100" w:after="312" w:afterLines="10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总体评价</w:t>
            </w:r>
          </w:p>
        </w:tc>
        <w:tc>
          <w:tcPr>
            <w:tcW w:w="4769" w:type="pct"/>
            <w:gridSpan w:val="7"/>
            <w:noWrap w:val="0"/>
            <w:vAlign w:val="center"/>
          </w:tcPr>
          <w:p>
            <w:pPr>
              <w:spacing w:line="400" w:lineRule="exact"/>
              <w:jc w:val="center"/>
              <w:rPr>
                <w:rFonts w:hint="default"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0" w:type="pct"/>
            <w:noWrap w:val="0"/>
            <w:vAlign w:val="center"/>
          </w:tcPr>
          <w:p>
            <w:pPr>
              <w:spacing w:before="312" w:beforeLines="100" w:after="312" w:afterLines="100"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评审结论</w:t>
            </w:r>
          </w:p>
        </w:tc>
        <w:tc>
          <w:tcPr>
            <w:tcW w:w="4769" w:type="pct"/>
            <w:gridSpan w:val="7"/>
            <w:noWrap w:val="0"/>
            <w:vAlign w:val="center"/>
          </w:tcPr>
          <w:p>
            <w:pPr>
              <w:spacing w:line="400" w:lineRule="exact"/>
              <w:jc w:val="center"/>
              <w:rPr>
                <w:rFonts w:hint="default" w:ascii="Times New Roman" w:hAnsi="Times New Roman" w:eastAsia="仿宋_GB2312" w:cs="Times New Roman"/>
                <w:sz w:val="24"/>
                <w:szCs w:val="24"/>
              </w:rPr>
            </w:pPr>
          </w:p>
        </w:tc>
      </w:tr>
    </w:tbl>
    <w:p>
      <w:pPr>
        <w:spacing w:line="400" w:lineRule="exact"/>
        <w:jc w:val="left"/>
        <w:rPr>
          <w:rFonts w:ascii="Times New Roman" w:hAnsi="Times New Roman" w:eastAsia="仿宋" w:cs="Times New Roman"/>
          <w:sz w:val="24"/>
          <w:szCs w:val="24"/>
        </w:rPr>
      </w:pPr>
      <w:r>
        <w:rPr>
          <w:rFonts w:hint="eastAsia" w:ascii="Times New Roman" w:hAnsi="Times New Roman" w:eastAsia="仿宋_GB2312" w:cs="Times New Roman"/>
          <w:sz w:val="24"/>
          <w:szCs w:val="24"/>
          <w:lang w:val="en-US" w:eastAsia="zh-CN"/>
        </w:rPr>
        <w:t xml:space="preserve">            </w:t>
      </w:r>
      <w:r>
        <w:rPr>
          <w:rFonts w:hint="eastAsia" w:ascii="Times New Roman" w:hAnsi="Times New Roman" w:eastAsia="仿宋" w:cs="Times New Roman"/>
          <w:sz w:val="24"/>
          <w:szCs w:val="24"/>
        </w:rPr>
        <w:t>审查人员：</w:t>
      </w:r>
      <w:r>
        <w:rPr>
          <w:rFonts w:hint="eastAsia" w:ascii="Times New Roman" w:hAnsi="Times New Roman" w:eastAsia="仿宋" w:cs="Times New Roman"/>
          <w:sz w:val="24"/>
          <w:szCs w:val="24"/>
          <w:lang w:val="en-US" w:eastAsia="zh-CN"/>
        </w:rPr>
        <w:t xml:space="preserve">                     </w:t>
      </w:r>
      <w:r>
        <w:rPr>
          <w:rFonts w:hint="eastAsia" w:ascii="Times New Roman" w:hAnsi="Times New Roman" w:eastAsia="仿宋" w:cs="Times New Roman"/>
          <w:sz w:val="24"/>
          <w:szCs w:val="24"/>
        </w:rPr>
        <w:t xml:space="preserve">日 </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期：</w:t>
      </w:r>
    </w:p>
    <w:p>
      <w:pPr>
        <w:snapToGrid w:val="0"/>
        <w:spacing w:line="560" w:lineRule="exact"/>
        <w:ind w:firstLine="640" w:firstLineChars="200"/>
        <w:jc w:val="both"/>
        <w:rPr>
          <w:rFonts w:hint="eastAsia" w:eastAsia="仿宋_GB2312"/>
          <w:sz w:val="32"/>
          <w:szCs w:val="32"/>
          <w:lang w:eastAsia="zh-CN"/>
        </w:rPr>
      </w:pPr>
    </w:p>
    <w:p>
      <w:pPr>
        <w:snapToGrid w:val="0"/>
        <w:spacing w:line="560" w:lineRule="exact"/>
        <w:ind w:firstLine="640" w:firstLineChars="200"/>
        <w:jc w:val="both"/>
        <w:rPr>
          <w:rFonts w:hint="eastAsia" w:eastAsia="仿宋_GB2312"/>
          <w:sz w:val="32"/>
          <w:szCs w:val="32"/>
          <w:lang w:eastAsia="zh-CN"/>
        </w:rPr>
      </w:pPr>
    </w:p>
    <w:p/>
    <w:sectPr>
      <w:pgSz w:w="11906" w:h="16838"/>
      <w:pgMar w:top="102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D76B46"/>
    <w:rsid w:val="41D76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Autospacing="1" w:afterAutospacing="1"/>
      <w:jc w:val="left"/>
    </w:pPr>
    <w:rPr>
      <w:kern w:val="0"/>
      <w:sz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2021-05-18T07:47:00Z</dcterms:created>
  <dc:creator>雨熹 Cisia</dc:creator>
  <cp:lastModifiedBy>雨熹 Cisia</cp:lastModifiedBy>
  <dcterms:modified xsi:type="dcterms:W3CDTF">2021-05-18T07:51:24Z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