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 w:val="0"/>
        <w:suppressLineNumbers w:val="0"/>
        <w:autoSpaceDE w:val="0"/>
        <w:spacing w:before="0" w:beforeAutospacing="0" w:after="0" w:afterAutospacing="0" w:line="560" w:lineRule="exact"/>
        <w:ind w:left="0" w:right="0" w:firstLine="0" w:firstLineChars="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eastAsia="zh-CN" w:bidi="ar"/>
        </w:rPr>
        <w:t>1</w:t>
      </w:r>
    </w:p>
    <w:p>
      <w:pPr>
        <w:keepNext w:val="0"/>
        <w:keepLines w:val="0"/>
        <w:widowControl/>
        <w:suppressLineNumbers w:val="0"/>
        <w:adjustRightInd/>
        <w:snapToGrid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宋体" w:cs="Times New Roman"/>
          <w:b/>
          <w:color w:val="auto"/>
          <w:spacing w:val="-23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宋体" w:cs="Times New Roman"/>
          <w:b/>
          <w:color w:val="auto"/>
          <w:spacing w:val="-23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/>
        <w:snapToGrid/>
        <w:spacing w:before="0" w:beforeAutospacing="0" w:after="0" w:afterAutospacing="0" w:line="600" w:lineRule="exact"/>
        <w:ind w:left="0" w:right="0"/>
        <w:jc w:val="center"/>
        <w:rPr>
          <w:rFonts w:hint="eastAsia" w:ascii="Times New Roman" w:hAnsi="Times New Roman" w:eastAsia="方正小标宋_GBK" w:cs="方正小标宋_GBK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  <w:t>2024年《职业病防治法》宣传周推荐</w:t>
      </w:r>
    </w:p>
    <w:p>
      <w:pPr>
        <w:keepNext w:val="0"/>
        <w:keepLines w:val="0"/>
        <w:widowControl/>
        <w:suppressLineNumbers w:val="0"/>
        <w:adjustRightInd/>
        <w:snapToGrid/>
        <w:spacing w:before="0" w:beforeAutospacing="0" w:after="0" w:afterAutospacing="0" w:line="600" w:lineRule="exact"/>
        <w:ind w:left="0" w:right="0"/>
        <w:jc w:val="center"/>
        <w:rPr>
          <w:rFonts w:hint="default" w:ascii="Times New Roman" w:hAnsi="Times New Roman" w:eastAsia="宋体" w:cs="Times New Roman"/>
          <w:b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_GBK" w:cs="方正小标宋_GBK"/>
          <w:b w:val="0"/>
          <w:bCs/>
          <w:color w:val="auto"/>
          <w:spacing w:val="0"/>
          <w:kern w:val="0"/>
          <w:sz w:val="44"/>
          <w:szCs w:val="44"/>
          <w:lang w:val="en-US" w:eastAsia="zh-CN" w:bidi="ar"/>
        </w:rPr>
        <w:t>宣传用语</w:t>
      </w:r>
    </w:p>
    <w:p>
      <w:pPr>
        <w:widowControl w:val="0"/>
        <w:spacing w:line="580" w:lineRule="exact"/>
        <w:jc w:val="both"/>
        <w:rPr>
          <w:rFonts w:hint="default" w:ascii="Times New Roman" w:hAnsi="Times New Roman" w:eastAsia="仿宋_GB2312" w:cs="Times New Roman"/>
          <w:color w:val="auto"/>
          <w:kern w:val="0"/>
          <w:sz w:val="32"/>
          <w:szCs w:val="28"/>
          <w:lang w:val="en-US" w:eastAsia="zh-CN" w:bidi="ar"/>
        </w:rPr>
      </w:pP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职业健康，你我同行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坚持预防为主，守护职业健康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体面劳动，健康工作，快乐生活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保障劳动者健康，助力健康中国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守护职业健康，同享幸福人生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崇尚职业健康，远离职业危害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建设健康企业，争做健康达人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关注职业健康，守护最美劳动者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预防职业病危害，守护劳动者健康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提升职业健康素养，助力高质量发展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打造健康劳动者队伍，支撑中国式现代化建设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依法依规开展职业健康技术服务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职业病危害项目申报是用人单位的法定义务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开展中小微企业职业健康帮扶，保障劳动者职业健康权益</w:t>
      </w:r>
    </w:p>
    <w:p>
      <w:pPr>
        <w:pStyle w:val="2"/>
        <w:widowControl w:val="0"/>
        <w:numPr>
          <w:ilvl w:val="0"/>
          <w:numId w:val="1"/>
        </w:numPr>
        <w:ind w:left="425" w:leftChars="0" w:hanging="425" w:firstLineChars="0"/>
        <w:jc w:val="both"/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</w:pP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24"/>
        </w:rPr>
        <w:t>推进职业健康保护行动，提升劳动者职业健康素养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763392"/>
    <w:multiLevelType w:val="singleLevel"/>
    <w:tmpl w:val="2176339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70C87"/>
    <w:rsid w:val="BEF7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2024-04-25T22:40:00Z</dcterms:created>
  <dc:creator>雨熹 Cisia</dc:creator>
  <cp:lastModifiedBy>雨熹 Cisia</cp:lastModifiedBy>
  <dcterms:modified xsi:type="dcterms:W3CDTF">2024-04-25T22:41:35Z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C5FEDD55B9D323FC776B2A6663EDA806_41</vt:lpwstr>
  </property>
</Properties>
</file>