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560" w:lineRule="exact"/>
        <w:rPr>
          <w:rFonts w:ascii="Times New Roman" w:hAnsi="Times New Roman" w:eastAsia="方正小标宋简体" w:cs="Times New Roman"/>
          <w:szCs w:val="44"/>
        </w:rPr>
      </w:pPr>
    </w:p>
    <w:p>
      <w:pPr>
        <w:pStyle w:val="5"/>
        <w:widowControl/>
        <w:spacing w:line="560" w:lineRule="exact"/>
        <w:rPr>
          <w:rFonts w:ascii="Times New Roman" w:hAnsi="Times New Roman" w:eastAsia="方正小标宋简体" w:cs="Times New Roman"/>
          <w:szCs w:val="44"/>
        </w:rPr>
      </w:pPr>
      <w:r>
        <w:rPr>
          <w:rFonts w:hint="eastAsia" w:ascii="Times New Roman" w:hAnsi="Times New Roman" w:eastAsia="方正小标宋简体" w:cs="Times New Roman"/>
          <w:szCs w:val="44"/>
        </w:rPr>
        <w:t>天津市中医药条例</w:t>
      </w:r>
    </w:p>
    <w:p>
      <w:pPr>
        <w:pStyle w:val="5"/>
        <w:widowControl/>
        <w:spacing w:line="560" w:lineRule="exact"/>
        <w:outlineLvl w:val="0"/>
        <w:rPr>
          <w:rFonts w:ascii="Times New Roman" w:hAnsi="Times New Roman" w:eastAsia="楷体" w:cs="Times New Roman"/>
          <w:sz w:val="32"/>
          <w:szCs w:val="32"/>
        </w:rPr>
      </w:pPr>
      <w:r>
        <w:rPr>
          <w:rFonts w:hint="eastAsia" w:ascii="Times New Roman" w:hAnsi="Times New Roman" w:eastAsia="楷体" w:cs="Times New Roman"/>
          <w:sz w:val="32"/>
          <w:szCs w:val="32"/>
        </w:rPr>
        <w:t>（</w:t>
      </w:r>
      <w:r>
        <w:rPr>
          <w:rFonts w:hint="eastAsia" w:ascii="Times New Roman" w:hAnsi="Times New Roman" w:eastAsia="楷体" w:cs="Times New Roman"/>
          <w:sz w:val="32"/>
          <w:szCs w:val="32"/>
          <w:lang w:eastAsia="zh-CN"/>
        </w:rPr>
        <w:t>征求意见稿</w:t>
      </w:r>
      <w:r>
        <w:rPr>
          <w:rFonts w:hint="eastAsia" w:ascii="Times New Roman" w:hAnsi="Times New Roman" w:eastAsia="楷体" w:cs="Times New Roman"/>
          <w:sz w:val="32"/>
          <w:szCs w:val="32"/>
        </w:rPr>
        <w:t>）</w:t>
      </w:r>
    </w:p>
    <w:p>
      <w:pPr>
        <w:pStyle w:val="18"/>
        <w:spacing w:line="560" w:lineRule="exact"/>
        <w:jc w:val="center"/>
        <w:rPr>
          <w:rFonts w:ascii="宋体" w:hAnsi="宋体"/>
          <w:b/>
          <w:bCs/>
          <w:sz w:val="44"/>
          <w:szCs w:val="44"/>
        </w:rPr>
      </w:pPr>
    </w:p>
    <w:p>
      <w:pPr>
        <w:pStyle w:val="18"/>
        <w:spacing w:line="560" w:lineRule="exact"/>
        <w:jc w:val="center"/>
        <w:rPr>
          <w:rFonts w:ascii="宋体" w:hAnsi="宋体"/>
          <w:b/>
          <w:bCs/>
          <w:sz w:val="44"/>
          <w:szCs w:val="44"/>
        </w:rPr>
      </w:pPr>
    </w:p>
    <w:p>
      <w:pPr>
        <w:widowControl/>
        <w:shd w:val="clear" w:color="auto" w:fill="FFFFFF"/>
        <w:spacing w:line="540" w:lineRule="exact"/>
        <w:ind w:firstLine="44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目   录</w:t>
      </w:r>
    </w:p>
    <w:p>
      <w:pPr>
        <w:widowControl/>
        <w:shd w:val="clear" w:color="auto" w:fill="FFFFFF"/>
        <w:spacing w:line="540" w:lineRule="exact"/>
        <w:ind w:firstLine="4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第一章  总  则</w:t>
      </w:r>
    </w:p>
    <w:p>
      <w:pPr>
        <w:widowControl/>
        <w:shd w:val="clear" w:color="auto" w:fill="FFFFFF"/>
        <w:spacing w:line="540" w:lineRule="exact"/>
        <w:ind w:firstLine="4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第二章  中医药服务</w:t>
      </w:r>
    </w:p>
    <w:p>
      <w:pPr>
        <w:widowControl/>
        <w:shd w:val="clear" w:color="auto" w:fill="FFFFFF"/>
        <w:spacing w:line="540" w:lineRule="exact"/>
        <w:ind w:firstLine="4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第三章  中药保护与产业发展</w:t>
      </w:r>
    </w:p>
    <w:p>
      <w:pPr>
        <w:widowControl/>
        <w:shd w:val="clear" w:color="auto" w:fill="FFFFFF"/>
        <w:spacing w:line="540" w:lineRule="exact"/>
        <w:ind w:firstLine="44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第四章  中医药人才培养</w:t>
      </w:r>
    </w:p>
    <w:p>
      <w:pPr>
        <w:widowControl/>
        <w:shd w:val="clear" w:color="auto" w:fill="FFFFFF"/>
        <w:spacing w:line="540" w:lineRule="exact"/>
        <w:ind w:firstLine="4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第五章  中医药</w:t>
      </w:r>
      <w:r>
        <w:rPr>
          <w:rFonts w:hint="eastAsia" w:ascii="仿宋_GB2312" w:hAnsi="仿宋_GB2312" w:eastAsia="仿宋_GB2312" w:cs="仿宋_GB2312"/>
          <w:color w:val="000000"/>
          <w:kern w:val="0"/>
          <w:sz w:val="32"/>
          <w:szCs w:val="32"/>
          <w:shd w:val="clear" w:color="auto" w:fill="FFFFFF"/>
          <w:lang w:eastAsia="zh-CN"/>
        </w:rPr>
        <w:t>科研</w:t>
      </w:r>
      <w:r>
        <w:rPr>
          <w:rFonts w:hint="eastAsia" w:ascii="仿宋_GB2312" w:hAnsi="仿宋_GB2312" w:eastAsia="仿宋_GB2312" w:cs="仿宋_GB2312"/>
          <w:color w:val="000000"/>
          <w:kern w:val="0"/>
          <w:sz w:val="32"/>
          <w:szCs w:val="32"/>
          <w:shd w:val="clear" w:color="auto" w:fill="FFFFFF"/>
        </w:rPr>
        <w:t>与</w:t>
      </w:r>
      <w:r>
        <w:rPr>
          <w:rFonts w:hint="eastAsia" w:ascii="仿宋_GB2312" w:hAnsi="仿宋_GB2312" w:eastAsia="仿宋_GB2312" w:cs="仿宋_GB2312"/>
          <w:color w:val="000000"/>
          <w:kern w:val="0"/>
          <w:sz w:val="32"/>
          <w:szCs w:val="32"/>
          <w:shd w:val="clear" w:color="auto" w:fill="FFFFFF"/>
          <w:lang w:eastAsia="zh-CN"/>
        </w:rPr>
        <w:t>传承</w:t>
      </w:r>
      <w:r>
        <w:rPr>
          <w:rFonts w:hint="eastAsia" w:ascii="仿宋_GB2312" w:hAnsi="仿宋_GB2312" w:eastAsia="仿宋_GB2312" w:cs="仿宋_GB2312"/>
          <w:color w:val="000000"/>
          <w:kern w:val="0"/>
          <w:sz w:val="32"/>
          <w:szCs w:val="32"/>
          <w:shd w:val="clear" w:color="auto" w:fill="FFFFFF"/>
        </w:rPr>
        <w:t>创新</w:t>
      </w:r>
      <w:bookmarkStart w:id="0" w:name="_GoBack"/>
      <w:bookmarkEnd w:id="0"/>
    </w:p>
    <w:p>
      <w:pPr>
        <w:widowControl/>
        <w:shd w:val="clear" w:color="auto" w:fill="FFFFFF"/>
        <w:spacing w:line="540" w:lineRule="exact"/>
        <w:ind w:firstLine="44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第六章  保障措施</w:t>
      </w:r>
    </w:p>
    <w:p>
      <w:pPr>
        <w:widowControl/>
        <w:shd w:val="clear" w:color="auto" w:fill="FFFFFF"/>
        <w:spacing w:line="540" w:lineRule="exact"/>
        <w:ind w:firstLine="4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第七章 法律责任</w:t>
      </w:r>
    </w:p>
    <w:p>
      <w:pPr>
        <w:widowControl/>
        <w:shd w:val="clear" w:color="auto" w:fill="FFFFFF"/>
        <w:spacing w:line="540" w:lineRule="exact"/>
        <w:ind w:firstLine="4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第八章  附  则  </w:t>
      </w:r>
    </w:p>
    <w:p>
      <w:pPr>
        <w:pStyle w:val="18"/>
        <w:spacing w:line="540" w:lineRule="exact"/>
        <w:jc w:val="center"/>
        <w:rPr>
          <w:rFonts w:ascii="宋体" w:hAnsi="宋体"/>
          <w:b/>
          <w:bCs/>
          <w:sz w:val="32"/>
        </w:rPr>
      </w:pPr>
    </w:p>
    <w:p>
      <w:pPr>
        <w:spacing w:line="560" w:lineRule="exact"/>
        <w:jc w:val="center"/>
        <w:rPr>
          <w:rFonts w:ascii="Times New Roman" w:hAnsi="Times New Roman" w:eastAsia="黑体" w:cs="Times New Roman"/>
          <w:bCs/>
          <w:sz w:val="32"/>
          <w:szCs w:val="32"/>
        </w:rPr>
      </w:pPr>
      <w:r>
        <w:rPr>
          <w:rFonts w:hint="eastAsia" w:ascii="Times New Roman" w:hAnsi="Times New Roman" w:eastAsia="黑体" w:cs="Times New Roman"/>
          <w:bCs/>
          <w:sz w:val="32"/>
          <w:szCs w:val="32"/>
        </w:rPr>
        <w:t>第一章　总则</w:t>
      </w:r>
    </w:p>
    <w:p>
      <w:pPr>
        <w:autoSpaceDN w:val="0"/>
        <w:spacing w:line="56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为了继承和弘扬中医药，保障和促进中医药事业创新发展，保护人民生命安全和身体健康，推进健康天津建设，根据《中华人民共和国中医药法》等法律、行政法规，结合本市实际，制定本条例。</w:t>
      </w:r>
    </w:p>
    <w:p>
      <w:pPr>
        <w:autoSpaceDN w:val="0"/>
        <w:spacing w:line="560" w:lineRule="exact"/>
        <w:ind w:firstLine="640" w:firstLineChars="200"/>
        <w:rPr>
          <w:rFonts w:ascii="仿宋_GB2312" w:hAnsi="仿宋_GB2312" w:eastAsia="仿宋_GB2312" w:cs="仿宋_GB2312"/>
          <w:kern w:val="0"/>
          <w:sz w:val="32"/>
          <w:szCs w:val="32"/>
          <w:shd w:val="clear" w:color="auto" w:fill="FFFFFF"/>
        </w:rPr>
      </w:pPr>
      <w:r>
        <w:rPr>
          <w:rFonts w:eastAsia="黑体"/>
          <w:bCs/>
          <w:sz w:val="32"/>
          <w:szCs w:val="32"/>
          <w:lang w:val="zh-CN"/>
        </w:rPr>
        <w:t>第二条</w:t>
      </w:r>
      <w:r>
        <w:rPr>
          <w:rFonts w:hint="eastAsia" w:eastAsia="黑体"/>
          <w:bCs/>
          <w:sz w:val="32"/>
          <w:szCs w:val="32"/>
          <w:lang w:val="en-US" w:eastAsia="zh-CN"/>
        </w:rPr>
        <w:t xml:space="preserve"> </w:t>
      </w:r>
      <w:r>
        <w:rPr>
          <w:rFonts w:hint="eastAsia" w:ascii="仿宋_GB2312" w:hAnsi="仿宋_GB2312" w:eastAsia="仿宋_GB2312" w:cs="仿宋_GB2312"/>
          <w:kern w:val="0"/>
          <w:sz w:val="32"/>
          <w:szCs w:val="32"/>
          <w:shd w:val="clear" w:color="auto" w:fill="FFFFFF"/>
        </w:rPr>
        <w:t>本条例适用于本市中医药服务和产业以及相关监督管理等活动。</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ascii="黑体" w:hAnsi="黑体" w:eastAsia="黑体"/>
          <w:sz w:val="32"/>
          <w:szCs w:val="32"/>
        </w:rPr>
        <w:t>第三条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本市大力发展中医药事业，坚持中西医并重的方针，遵循中医药发展规律，坚持传承和创新相结合，保持和发挥津沽中医药特色和优势。</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ascii="黑体" w:hAnsi="黑体" w:eastAsia="黑体"/>
          <w:sz w:val="32"/>
          <w:szCs w:val="32"/>
        </w:rPr>
        <w:t>第</w:t>
      </w:r>
      <w:r>
        <w:rPr>
          <w:rFonts w:hint="eastAsia" w:ascii="黑体" w:hAnsi="黑体" w:eastAsia="黑体"/>
          <w:sz w:val="32"/>
          <w:szCs w:val="32"/>
        </w:rPr>
        <w:t>四</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本市健全完善融预防保健、疾病治疗和康复于一体的中医药服务体系，提供覆盖全民和全生命周期的中医药服务。</w:t>
      </w:r>
    </w:p>
    <w:p>
      <w:pPr>
        <w:autoSpaceDN w:val="0"/>
        <w:spacing w:line="520" w:lineRule="exact"/>
        <w:ind w:firstLine="640" w:firstLineChars="200"/>
        <w:rPr>
          <w:rFonts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本市大力推进中药产业特色发展，提高发展活力，推动中药质量提升和产业高质量发展。</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ascii="黑体" w:hAnsi="黑体" w:eastAsia="黑体"/>
          <w:sz w:val="32"/>
          <w:szCs w:val="32"/>
        </w:rPr>
        <w:t>第</w:t>
      </w:r>
      <w:r>
        <w:rPr>
          <w:rFonts w:hint="eastAsia" w:ascii="黑体" w:hAnsi="黑体" w:eastAsia="黑体"/>
          <w:sz w:val="32"/>
          <w:szCs w:val="32"/>
        </w:rPr>
        <w:t>五</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和区人民政府应当将中医药事业纳入国民经济和社会发展规划，建立健全符合中医药特点的管理、服务和保障体系，将中医药工作纳入政府绩效考核范围，保护、扶持和发展中医药，统筹推进中医药事业高质量发展。</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市和区人民政府应当建立健全中医药工作联席会议制度，研究促进中医药事业发展的政策，指导、督促有关政策措施的落实，协调解决中医药事业发展中的重大问题。</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ascii="黑体" w:hAnsi="黑体" w:eastAsia="黑体"/>
          <w:sz w:val="32"/>
          <w:szCs w:val="32"/>
        </w:rPr>
        <w:t>第</w:t>
      </w:r>
      <w:r>
        <w:rPr>
          <w:rFonts w:hint="eastAsia" w:ascii="黑体" w:hAnsi="黑体" w:eastAsia="黑体"/>
          <w:sz w:val="32"/>
          <w:szCs w:val="32"/>
        </w:rPr>
        <w:t>六</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市和区中医药主管部门负责本行政区域内的中医药管理工作。</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发展改革、教育、科技、工业和信息化、民政、财政、人力社保、农业农村、商务、文化和旅游、市场监管、体育、医保、药监、知识产权等部门应当按照各自工作职责，做好与中医药有关的工作。</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中医药行业组织应当加强行业自律，组织开展行业服务，维护行业信誉和合法权益。鼓励中医药行业组织参与制定、推广中医药行业标准和规范。</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市和区人民政府及有关部门应当弘扬中医药文化，加强中医药知识的宣传、普及，营造关心、支持中医药发展的社会氛围。</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第九条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对在中医药事业中做出显著成绩和突出贡献的组织和个人，按照国家和本市有关规定给予表彰、奖励。</w:t>
      </w:r>
    </w:p>
    <w:p>
      <w:pPr>
        <w:autoSpaceDN w:val="0"/>
        <w:spacing w:line="520" w:lineRule="exact"/>
        <w:ind w:firstLine="641"/>
        <w:rPr>
          <w:rFonts w:ascii="仿宋_GB2312" w:hAnsi="仿宋_GB2312" w:eastAsia="仿宋_GB2312" w:cs="仿宋_GB2312"/>
          <w:strike/>
          <w:kern w:val="0"/>
          <w:sz w:val="32"/>
          <w:szCs w:val="32"/>
          <w:shd w:val="clear" w:color="auto" w:fill="FFFFFF"/>
        </w:rPr>
      </w:pPr>
      <w:r>
        <w:rPr>
          <w:rFonts w:hint="eastAsia" w:ascii="黑体" w:hAnsi="黑体" w:eastAsia="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本市健全与北京市、河北省中医药发展合作交流机制,共建中医药传承创新发展平台,推进京津冀中医药服务、教育、科研、产业等协同发展。</w:t>
      </w:r>
    </w:p>
    <w:p>
      <w:pPr>
        <w:autoSpaceDN w:val="0"/>
        <w:spacing w:line="560" w:lineRule="exact"/>
        <w:jc w:val="center"/>
        <w:rPr>
          <w:rFonts w:ascii="宋体" w:hAnsi="宋体"/>
          <w:sz w:val="32"/>
          <w:szCs w:val="32"/>
        </w:rPr>
      </w:pPr>
      <w:r>
        <w:rPr>
          <w:rFonts w:ascii="黑体" w:hAnsi="黑体" w:eastAsia="黑体"/>
          <w:sz w:val="32"/>
          <w:szCs w:val="32"/>
        </w:rPr>
        <w:t>第二章　中医药服务</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ascii="黑体" w:hAnsi="黑体" w:eastAsia="黑体"/>
          <w:sz w:val="32"/>
          <w:szCs w:val="32"/>
        </w:rPr>
        <w:t>第</w:t>
      </w:r>
      <w:r>
        <w:rPr>
          <w:rFonts w:hint="eastAsia" w:ascii="黑体" w:hAnsi="黑体" w:eastAsia="黑体"/>
          <w:sz w:val="32"/>
          <w:szCs w:val="32"/>
        </w:rPr>
        <w:t>十一</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市和区人民政府应当按照医疗机构设置规划，举办中医医疗机构，扶持有中医药特色和优势的医疗机构发展。</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合并、撤销政府举办的中医医疗机构或者改变其中医医疗性质，应当征求上一级人民政府中医药主管部门意见。</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第十二条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政府举办的综合医院、妇幼保健机构和有条件的专科医院应当设置中医药科室。</w:t>
      </w:r>
    </w:p>
    <w:p>
      <w:pPr>
        <w:autoSpaceDN w:val="0"/>
        <w:spacing w:line="520" w:lineRule="exact"/>
        <w:ind w:firstLine="641"/>
        <w:rPr>
          <w:rFonts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社区卫生服务中心和乡镇卫生院应当设置国医堂。社区卫生服务站应当配备能够提供中医药服务的执业医师，村卫生室应当配备能够提供中医药服务的执业医师、执业助理医师或者乡村医生。</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第十三条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鼓励社会力量举办中医医疗机构，社会力量举办的其他医疗机构依法提供中医药服务。</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社会力量举办的中医医疗机构在准入、执业、基本医疗保险、科研教学、医务人员职称评定等方面享有与政府举办的中医医疗机构同等的权利。</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鼓励符合条件的中医诊所参与医联体建设。有条件的中医诊所组建团队按规定开展家庭医生签约服务。</w:t>
      </w:r>
    </w:p>
    <w:p>
      <w:pPr>
        <w:autoSpaceDN w:val="0"/>
        <w:spacing w:line="540" w:lineRule="exact"/>
        <w:ind w:firstLine="641"/>
        <w:rPr>
          <w:rFonts w:ascii="仿宋_GB2312" w:hAnsi="仿宋_GB2312" w:eastAsia="仿宋_GB2312" w:cs="仿宋_GB2312"/>
          <w:b/>
          <w:kern w:val="0"/>
          <w:sz w:val="32"/>
          <w:szCs w:val="32"/>
          <w:shd w:val="clear" w:color="auto" w:fill="FFFFFF"/>
        </w:rPr>
      </w:pPr>
      <w:r>
        <w:rPr>
          <w:rFonts w:ascii="黑体" w:hAnsi="黑体" w:eastAsia="黑体"/>
          <w:sz w:val="32"/>
          <w:szCs w:val="32"/>
        </w:rPr>
        <w:t>第十</w:t>
      </w:r>
      <w:r>
        <w:rPr>
          <w:rFonts w:hint="eastAsia" w:ascii="黑体" w:hAnsi="黑体" w:eastAsia="黑体"/>
          <w:sz w:val="32"/>
          <w:szCs w:val="32"/>
        </w:rPr>
        <w:t>四</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中医医疗机构配备医务人员应当以中医药专业技术人员为主，主要提供中医药服务。其他提供中医药服务的医疗机构，应当合理配备中医药专业技术人员。</w:t>
      </w:r>
    </w:p>
    <w:p>
      <w:pPr>
        <w:autoSpaceDN w:val="0"/>
        <w:spacing w:line="540" w:lineRule="exact"/>
        <w:ind w:firstLine="641"/>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临床类别执业医师按照国家和本市有关规定，参加系统的中医药知识和技术培训并通过考核的，可以在临床工作中提供中医药服务。</w:t>
      </w:r>
    </w:p>
    <w:p>
      <w:pPr>
        <w:autoSpaceDN w:val="0"/>
        <w:spacing w:line="540" w:lineRule="exact"/>
        <w:ind w:firstLine="641"/>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临床类别执业医师、执业助理医师和乡村医生，经区中医药主管部门培训及考核合格的，可以在社区卫生服务站、村卫生室及家庭医生团队中开展相应的中医药服务。</w:t>
      </w:r>
    </w:p>
    <w:p>
      <w:pPr>
        <w:autoSpaceDN w:val="0"/>
        <w:spacing w:line="54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第十五条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以师承方式学习中医或者经多年实践，医术确有专长的人员，由市中医药主管部门按照国家有关规定，经实践技能和效果考核合格后,即可取得中医医师资格。</w:t>
      </w:r>
    </w:p>
    <w:p>
      <w:pPr>
        <w:autoSpaceDN w:val="0"/>
        <w:spacing w:line="54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中医(专长)医师应当按照注册的执业范围执业。市和区中医药主管部门应当加强对中医(专长)医师执业行为的监督检查。</w:t>
      </w:r>
    </w:p>
    <w:p>
      <w:pPr>
        <w:autoSpaceDN w:val="0"/>
        <w:spacing w:line="540" w:lineRule="exact"/>
        <w:ind w:firstLine="640" w:firstLineChars="200"/>
        <w:rPr>
          <w:rFonts w:ascii="仿宋_GB2312" w:hAnsi="仿宋_GB2312" w:eastAsia="仿宋_GB2312" w:cs="仿宋_GB2312"/>
          <w:kern w:val="0"/>
          <w:sz w:val="32"/>
          <w:szCs w:val="32"/>
          <w:shd w:val="clear" w:color="auto" w:fill="FFFFFF"/>
        </w:rPr>
      </w:pPr>
      <w:r>
        <w:rPr>
          <w:rFonts w:ascii="黑体" w:hAnsi="黑体" w:eastAsia="黑体"/>
          <w:sz w:val="32"/>
          <w:szCs w:val="32"/>
        </w:rPr>
        <w:t>第十</w:t>
      </w:r>
      <w:r>
        <w:rPr>
          <w:rFonts w:hint="eastAsia" w:ascii="黑体" w:hAnsi="黑体" w:eastAsia="黑体"/>
          <w:sz w:val="32"/>
          <w:szCs w:val="32"/>
        </w:rPr>
        <w:t>六</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市和区人民政府应当按照国家有关规定，将适宜的中医药服务项目纳入基本公共卫生服务项目统筹实施，提升覆盖全民和全生命周期的中医药公共卫生服务能力。</w:t>
      </w:r>
    </w:p>
    <w:p>
      <w:pPr>
        <w:autoSpaceDN w:val="0"/>
        <w:spacing w:line="540" w:lineRule="exact"/>
        <w:ind w:firstLine="640" w:firstLineChars="200"/>
        <w:rPr>
          <w:rFonts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市和区中医药主管部门应当指导推动疾病预防控制、健康教育、妇幼保健、精神卫生等公共卫生服务机构，在公共卫生服务中采用中医药理论和技术方法。</w:t>
      </w:r>
    </w:p>
    <w:p>
      <w:pPr>
        <w:autoSpaceDN w:val="0"/>
        <w:spacing w:line="520" w:lineRule="exact"/>
        <w:ind w:firstLine="646"/>
        <w:rPr>
          <w:rFonts w:ascii="仿宋_GB2312" w:hAnsi="仿宋_GB2312" w:eastAsia="仿宋_GB2312" w:cs="仿宋_GB2312"/>
          <w:kern w:val="0"/>
          <w:sz w:val="32"/>
          <w:szCs w:val="32"/>
          <w:shd w:val="clear" w:color="auto" w:fill="FFFFFF"/>
        </w:rPr>
      </w:pPr>
      <w:r>
        <w:rPr>
          <w:rFonts w:hint="eastAsia" w:ascii="黑体" w:hAnsi="黑体" w:eastAsia="黑体" w:cs="仿宋"/>
          <w:sz w:val="32"/>
          <w:szCs w:val="32"/>
        </w:rPr>
        <w:t>第十七条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市和区中医药主管部门应当在医疗机构中推广中医治未病技术方法。市医保部门应当按照规定将符合条件的中医治未病项目纳入医保支付范围。</w:t>
      </w:r>
    </w:p>
    <w:p>
      <w:pPr>
        <w:autoSpaceDN w:val="0"/>
        <w:spacing w:line="520" w:lineRule="exact"/>
        <w:ind w:firstLine="64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二级以上中医医疗机构应当设立治未病科。社区卫生服务中心、乡镇卫生院应当按照国家有关规定提供治未病服务。</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仿宋"/>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本市支持医疗机构提供中医药康复服务，加强中医康复专科建设，提升中医特色康复服务能力。</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市和区中医药主管部门应当在医疗机构中推广中医康复技术方法，市医保部门应当按照规定将符合条件的中医康复项目纳入医保支付范围。</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二级以上中医医疗机构应当设立康复科。社区卫生服务中心、乡镇卫生院应当提供中医康复服务。</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仿宋"/>
          <w:sz w:val="32"/>
          <w:szCs w:val="32"/>
        </w:rPr>
        <w:t>第十九条</w:t>
      </w:r>
      <w:r>
        <w:rPr>
          <w:rFonts w:hint="eastAsia" w:ascii="黑体" w:hAnsi="黑体" w:eastAsia="黑体" w:cs="仿宋"/>
          <w:sz w:val="32"/>
          <w:szCs w:val="32"/>
          <w:lang w:val="en-US" w:eastAsia="zh-CN"/>
        </w:rPr>
        <w:t xml:space="preserve"> </w:t>
      </w:r>
      <w:r>
        <w:rPr>
          <w:rFonts w:hint="eastAsia" w:ascii="仿宋_GB2312" w:hAnsi="仿宋_GB2312" w:eastAsia="仿宋_GB2312" w:cs="仿宋_GB2312"/>
          <w:kern w:val="0"/>
          <w:sz w:val="32"/>
          <w:szCs w:val="32"/>
          <w:shd w:val="clear" w:color="auto" w:fill="FFFFFF"/>
        </w:rPr>
        <w:t>支持中医药与养老服务融合发展，鼓励建设中医药特色医养结合机构。</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市和区中医药主管部门鼓励中医医疗机构与养老机构合作，增强中医药医养结合服务能力。二级以上中医医疗机构应当开设老年病科。</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市和区民政部门支持在养老机构开展中医药健康养老服务，鼓励养老机构与中医医疗机构合作开展中医药健康养老服务。</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ascii="黑体" w:hAnsi="黑体" w:eastAsia="黑体"/>
          <w:sz w:val="32"/>
          <w:szCs w:val="32"/>
        </w:rPr>
        <w:t>第</w:t>
      </w:r>
      <w:r>
        <w:rPr>
          <w:rFonts w:hint="eastAsia" w:ascii="黑体" w:hAnsi="黑体" w:eastAsia="黑体"/>
          <w:sz w:val="32"/>
          <w:szCs w:val="32"/>
        </w:rPr>
        <w:t>二十</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本市支持综合医院、专科医院等医疗机构开展中西医协作诊疗模式，逐步建立中西医多学科诊疗体系。</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市和区中医药主管部门应当指导综合医院、专科医院等医疗机构临床科室配备中医医师，打造中西医结合团队，开展中西医联合诊疗，将中西医结合工作成效纳入医院等级评审等考核体系。</w:t>
      </w:r>
    </w:p>
    <w:p>
      <w:pPr>
        <w:autoSpaceDN w:val="0"/>
        <w:spacing w:line="54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第二十一条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和区人民政府应当将中医药救治纳入本市突发公共卫生事件应急机制，加强中医药救治能力建设，充实中医药应急物资、设备、设施、技术与人才资源储备，建立中医疫病防治和应急医疗队伍，充分发挥中医药在突发公共卫生事件应急工作中的作用。</w:t>
      </w:r>
    </w:p>
    <w:p>
      <w:pPr>
        <w:autoSpaceDN w:val="0"/>
        <w:spacing w:line="54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发生突发公共卫生事件时，市中医药主管部门应当及时组织制定中医药防治方案，指导医疗卫生机构在预防、救治和康复中运用中医药技术方法。医疗机构可以按照市中医药主管部门发布的中医药防治方案，开展预先调剂、集中代煎等防控工作。</w:t>
      </w:r>
    </w:p>
    <w:p>
      <w:pPr>
        <w:autoSpaceDN w:val="0"/>
        <w:spacing w:line="520" w:lineRule="exact"/>
        <w:ind w:firstLine="641"/>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中医医疗机构应当提升应对突发公共卫生事件处置能力，推进应急设施建设。二级以上中医医疗机构应当设置感染性疾病科和医院感染管理科，有条件的可以设置急诊科。</w:t>
      </w:r>
    </w:p>
    <w:p>
      <w:pPr>
        <w:autoSpaceDN w:val="0"/>
        <w:spacing w:line="560" w:lineRule="exact"/>
        <w:jc w:val="center"/>
        <w:rPr>
          <w:rFonts w:ascii="宋体" w:hAnsi="宋体"/>
          <w:sz w:val="32"/>
          <w:szCs w:val="32"/>
        </w:rPr>
      </w:pPr>
      <w:r>
        <w:rPr>
          <w:rFonts w:ascii="黑体" w:hAnsi="黑体" w:eastAsia="黑体"/>
          <w:sz w:val="32"/>
          <w:szCs w:val="32"/>
        </w:rPr>
        <w:t>第三章　中药保护与产业发展</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第二十二条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和区人民政府及其发展改革、工业和信息化、农业农村等部门应当支持和促进中药资源保护与中药产业发展，制定扶持政策，鼓励大宗中药材规范化种植养殖，培育具有竞争力的中药企业和中药品牌，促进中医药全产业链发展。</w:t>
      </w:r>
    </w:p>
    <w:p>
      <w:pPr>
        <w:autoSpaceDN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发展改革、工业和信息化、药监等部门应当支持中药生产企业装备升级、技术集成和工艺创新，推动中药生产工艺和流程标准化、现代化，促进中药产业高质量发展。</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第二十三条</w:t>
      </w:r>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rPr>
        <w:t>市中医药主管部门应当按照国家部署会同相关部门，对本市中药资源进行监测和普查，建立中药数据库和特有中药材种质资源库、基因库。</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第二十四条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市和区人民政府应当支持本地特色中药材品种选育和产地保护，扶持产业示范基地建设。</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市发展改革、工业和信息化、中医药主管、药监等部门应当采取措施，扶持中药生产企业在道地中药材产地建设常用大宗中药材规模化、规范化、产业化种植养殖基地。</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ascii="黑体" w:hAnsi="黑体" w:eastAsia="黑体"/>
          <w:sz w:val="32"/>
          <w:szCs w:val="32"/>
        </w:rPr>
        <w:t>第</w:t>
      </w:r>
      <w:r>
        <w:rPr>
          <w:rFonts w:hint="eastAsia" w:ascii="黑体" w:hAnsi="黑体" w:eastAsia="黑体"/>
          <w:sz w:val="32"/>
          <w:szCs w:val="32"/>
        </w:rPr>
        <w:t>二十五</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鼓励医疗机构根据临床用药需求依法配制和使用中药制剂，支持以中药制剂为基础研制中药新药。</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市药监部门应当优化中药制剂注册和备案管理，促进中药制剂研发和合理使用。医疗机构配制的中药制剂品种，应当依法取得制剂批准文号。仅用传统工艺配制的中药制剂品种，向市药监部门备案后即可配制，不需要取得制剂批准文号。</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医疗机构委托配制中药制剂的，应当委托取得药品生产许可证的药品生产企业或者取得医疗机构制剂许可证的其他医疗机构。</w:t>
      </w:r>
    </w:p>
    <w:p>
      <w:pPr>
        <w:widowControl/>
        <w:shd w:val="clear" w:color="auto" w:fill="FFFFFF"/>
        <w:spacing w:line="500" w:lineRule="exact"/>
        <w:ind w:firstLine="598" w:firstLineChars="187"/>
        <w:jc w:val="left"/>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二十六</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市药监部门应当建立健全中药制剂调剂使用制度，促进中药制剂合理调剂。</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市药监部门应当会同市中医药主管部门共同制定可调剂中药制剂目录，纳入目录的中药制剂可以在本市医疗机构调剂使用。</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发生突发公共卫生事件时，根据中药制剂调剂使用制度优化中药制剂调剂流程。</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ascii="黑体" w:hAnsi="黑体" w:eastAsia="黑体"/>
          <w:sz w:val="32"/>
          <w:szCs w:val="32"/>
        </w:rPr>
        <w:t>第</w:t>
      </w:r>
      <w:r>
        <w:rPr>
          <w:rFonts w:hint="eastAsia" w:ascii="黑体" w:hAnsi="黑体" w:eastAsia="黑体"/>
          <w:sz w:val="32"/>
          <w:szCs w:val="32"/>
        </w:rPr>
        <w:t>二十七</w:t>
      </w:r>
      <w:r>
        <w:rPr>
          <w:rFonts w:ascii="黑体" w:hAnsi="黑体" w:eastAsia="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中药材的种植养殖、采集、初加工、包装、储藏、运输和中药饮片炮制等应当符合国家有关技术规范、标准和管理规定。</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禁止生产、经营掺假掺杂、以假充真、以次充好、霉烂变质的中药材；禁止采取硫熏、染色等违反规定方式加工中药材。</w:t>
      </w:r>
    </w:p>
    <w:p>
      <w:pPr>
        <w:widowControl/>
        <w:shd w:val="clear" w:color="auto" w:fill="FFFFFF"/>
        <w:spacing w:line="5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医疗机构应当规范进药渠道，规范中药饮片加工炮制和中药制剂的配制行为，保证中药饮片和中药制剂的质量。</w:t>
      </w:r>
    </w:p>
    <w:p>
      <w:pPr>
        <w:widowControl/>
        <w:shd w:val="clear" w:color="auto" w:fill="FFFFFF"/>
        <w:spacing w:line="5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市中医药主管部门、药监部门等应当会同市市场监管部门依法制定和完善中药材相关技术规范、标准。</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黑体" w:hAnsi="黑体" w:eastAsia="黑体" w:cs="黑体"/>
          <w:sz w:val="32"/>
          <w:szCs w:val="32"/>
        </w:rPr>
        <w:t>第二十八条</w:t>
      </w:r>
      <w:r>
        <w:rPr>
          <w:rFonts w:hint="eastAsia" w:ascii="黑体" w:hAnsi="黑体" w:eastAsia="黑体" w:cs="黑体"/>
          <w:kern w:val="0"/>
          <w:sz w:val="32"/>
          <w:szCs w:val="32"/>
          <w:lang w:val="en-US" w:eastAsia="zh-CN"/>
        </w:rPr>
        <w:t xml:space="preserve"> </w:t>
      </w:r>
      <w:r>
        <w:rPr>
          <w:rFonts w:hint="eastAsia" w:ascii="仿宋_GB2312" w:hAnsi="仿宋_GB2312" w:eastAsia="仿宋_GB2312" w:cs="仿宋_GB2312"/>
          <w:kern w:val="0"/>
          <w:sz w:val="32"/>
          <w:szCs w:val="32"/>
          <w:shd w:val="clear" w:color="auto" w:fill="FFFFFF"/>
        </w:rPr>
        <w:t>本市支持中医药产业创新发展，推动在中医药产业发展、经营模式、管理体制机制等方面进行改革创新。</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支持科研机构、高等学校、医疗机构和中药企业等开展中医药理论和技术方法等方面的科学研究，进行经典名方、院内制剂、组分中药和中成药二次开发研究等活动。</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支持企业开展中药材精深加工，研发推广中药保健品、药膳、药妆、药浴等特色产品和服务，开发中医特色诊疗设备、中医健身器械、中药兽药等新产品，推进中医药产业创新升级。</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ascii="黑体" w:hAnsi="黑体" w:eastAsia="黑体"/>
          <w:sz w:val="32"/>
          <w:szCs w:val="32"/>
        </w:rPr>
        <w:t>第</w:t>
      </w:r>
      <w:r>
        <w:rPr>
          <w:rFonts w:hint="eastAsia" w:ascii="黑体" w:hAnsi="黑体" w:eastAsia="黑体"/>
          <w:sz w:val="32"/>
          <w:szCs w:val="32"/>
        </w:rPr>
        <w:t>二十九</w:t>
      </w:r>
      <w:r>
        <w:rPr>
          <w:rFonts w:ascii="黑体" w:hAnsi="黑体" w:eastAsia="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鼓励开展中医健康监测、咨询评估、养生调理等个性化、便捷化的中医药养生保健服务。</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鼓励探索中医药与养老、文化、旅游、体育等健康产业融合发展，开发推广特色中医药健康产品和服务项目。</w:t>
      </w:r>
    </w:p>
    <w:p>
      <w:pPr>
        <w:widowControl/>
        <w:shd w:val="clear" w:color="auto" w:fill="FFFFFF"/>
        <w:spacing w:line="500" w:lineRule="exact"/>
        <w:ind w:firstLine="598" w:firstLineChars="187"/>
        <w:jc w:val="left"/>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第三十条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中医养生保健机构登记的经营范围应当使用“中医养生保健服务(非医疗)”规范表述，不得使用带有中医医疗特征的名称，不得开展中医医疗活动，不得明示或者暗示治疗效果，不得进行带有中医医疗性质的宣传，不得非法从事药品和医疗器械销售等活动。</w:t>
      </w:r>
    </w:p>
    <w:p>
      <w:pPr>
        <w:widowControl/>
        <w:shd w:val="clear" w:color="auto" w:fill="FFFFFF"/>
        <w:spacing w:line="500" w:lineRule="exact"/>
        <w:ind w:firstLine="598" w:firstLineChars="187"/>
        <w:jc w:val="left"/>
        <w:rPr>
          <w:rFonts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市场监管和中医药主管部门应当根据各自职责对中医养生保健机构进行监督管理，建立中医养生保健机构注册信息互通共享机制，加强执法协作。　</w:t>
      </w:r>
    </w:p>
    <w:p>
      <w:pPr>
        <w:autoSpaceDN w:val="0"/>
        <w:spacing w:line="560" w:lineRule="exact"/>
        <w:jc w:val="center"/>
        <w:rPr>
          <w:rFonts w:ascii="宋体" w:hAnsi="宋体"/>
          <w:sz w:val="32"/>
          <w:szCs w:val="32"/>
        </w:rPr>
      </w:pPr>
      <w:r>
        <w:rPr>
          <w:rFonts w:ascii="黑体" w:hAnsi="黑体" w:eastAsia="黑体"/>
          <w:sz w:val="32"/>
          <w:szCs w:val="32"/>
        </w:rPr>
        <w:t>第四章</w:t>
      </w:r>
      <w:r>
        <w:rPr>
          <w:rFonts w:hint="eastAsia" w:ascii="黑体" w:hAnsi="黑体" w:eastAsia="黑体"/>
          <w:sz w:val="32"/>
          <w:szCs w:val="32"/>
        </w:rPr>
        <w:t>　</w:t>
      </w:r>
      <w:r>
        <w:rPr>
          <w:rFonts w:ascii="黑体" w:hAnsi="黑体" w:eastAsia="黑体"/>
          <w:sz w:val="32"/>
          <w:szCs w:val="32"/>
        </w:rPr>
        <w:t>中医药</w:t>
      </w:r>
      <w:r>
        <w:rPr>
          <w:rFonts w:hint="eastAsia" w:ascii="黑体" w:hAnsi="黑体" w:eastAsia="黑体"/>
          <w:sz w:val="32"/>
          <w:szCs w:val="32"/>
        </w:rPr>
        <w:t>人才</w:t>
      </w:r>
      <w:r>
        <w:rPr>
          <w:rFonts w:ascii="黑体" w:hAnsi="黑体" w:eastAsia="黑体"/>
          <w:sz w:val="32"/>
          <w:szCs w:val="32"/>
        </w:rPr>
        <w:t>培养</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shd w:val="clear" w:color="auto" w:fill="FFFFFF"/>
        </w:rPr>
      </w:pPr>
      <w:r>
        <w:rPr>
          <w:rFonts w:ascii="黑体" w:hAnsi="黑体" w:eastAsia="黑体"/>
          <w:sz w:val="32"/>
          <w:szCs w:val="32"/>
        </w:rPr>
        <w:t>第</w:t>
      </w:r>
      <w:r>
        <w:rPr>
          <w:rFonts w:hint="eastAsia" w:ascii="黑体" w:hAnsi="黑体" w:eastAsia="黑体"/>
          <w:sz w:val="32"/>
          <w:szCs w:val="32"/>
        </w:rPr>
        <w:t>三十一</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市人民政府应当发展中医药教育，建立健全中医药人才培养机制，形成院校教育、毕业后教育、继续教育有机衔接，师承教育贯穿始终的中医药人才培养体系。</w:t>
      </w:r>
    </w:p>
    <w:p>
      <w:pPr>
        <w:widowControl/>
        <w:shd w:val="clear" w:color="auto" w:fill="FFFFFF"/>
        <w:spacing w:line="560" w:lineRule="exact"/>
        <w:ind w:firstLine="640" w:firstLineChars="200"/>
        <w:jc w:val="left"/>
        <w:rPr>
          <w:rFonts w:ascii="仿宋" w:hAnsi="仿宋" w:eastAsia="仿宋" w:cs="仿宋"/>
          <w:sz w:val="32"/>
          <w:szCs w:val="32"/>
        </w:rPr>
      </w:pPr>
      <w:r>
        <w:rPr>
          <w:rFonts w:hint="eastAsia" w:ascii="仿宋_GB2312" w:hAnsi="仿宋_GB2312" w:eastAsia="仿宋_GB2312" w:cs="仿宋_GB2312"/>
          <w:kern w:val="0"/>
          <w:sz w:val="32"/>
          <w:szCs w:val="32"/>
          <w:shd w:val="clear" w:color="auto" w:fill="FFFFFF"/>
        </w:rPr>
        <w:t>市和区人民政府应当加强和支持中医药临床教学、</w:t>
      </w:r>
      <w:r>
        <w:rPr>
          <w:rFonts w:hint="eastAsia" w:ascii="仿宋_GB2312" w:eastAsia="仿宋_GB2312"/>
          <w:sz w:val="32"/>
          <w:szCs w:val="32"/>
        </w:rPr>
        <w:t>中医住院医师规范化培训</w:t>
      </w:r>
      <w:r>
        <w:rPr>
          <w:rFonts w:hint="eastAsia" w:ascii="仿宋_GB2312" w:hAnsi="仿宋_GB2312" w:eastAsia="仿宋_GB2312" w:cs="仿宋_GB2312"/>
          <w:kern w:val="0"/>
          <w:sz w:val="32"/>
          <w:szCs w:val="32"/>
          <w:shd w:val="clear" w:color="auto" w:fill="FFFFFF"/>
        </w:rPr>
        <w:t>和继续教育等基地建设。</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黑体" w:hAnsi="黑体" w:eastAsia="黑体" w:cs="黑体"/>
          <w:sz w:val="32"/>
          <w:szCs w:val="32"/>
        </w:rPr>
        <w:t>第三十二条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kern w:val="0"/>
          <w:sz w:val="32"/>
          <w:szCs w:val="32"/>
          <w:shd w:val="clear" w:color="auto" w:fill="FFFFFF"/>
        </w:rPr>
        <w:t>教育部门应当建立健全与中医药事业发展需求相适应的中医药院校教育体系，支持中医药世界一流学科建设。</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中医药高等教育应当遵循中医药规律和特点，建立以中医药课程为主线、先中后西的中医药类专业课程体系，强化中医思维培养和中医临床技能培训，建立早跟师、早临床学习制度。</w:t>
      </w:r>
    </w:p>
    <w:p>
      <w:pPr>
        <w:autoSpaceDN w:val="0"/>
        <w:spacing w:line="520" w:lineRule="exact"/>
        <w:ind w:firstLine="646"/>
        <w:rPr>
          <w:rFonts w:ascii="仿宋_GB2312" w:hAnsi="仿宋_GB2312" w:eastAsia="仿宋_GB2312" w:cs="仿宋_GB2312"/>
          <w:sz w:val="32"/>
          <w:szCs w:val="32"/>
        </w:rPr>
      </w:pPr>
      <w:r>
        <w:rPr>
          <w:rFonts w:ascii="黑体" w:hAnsi="黑体" w:eastAsia="黑体"/>
          <w:sz w:val="32"/>
          <w:szCs w:val="32"/>
        </w:rPr>
        <w:t>第</w:t>
      </w:r>
      <w:r>
        <w:rPr>
          <w:rFonts w:hint="eastAsia" w:ascii="黑体" w:hAnsi="黑体" w:eastAsia="黑体"/>
          <w:sz w:val="32"/>
          <w:szCs w:val="32"/>
        </w:rPr>
        <w:t>三十三</w:t>
      </w:r>
      <w:r>
        <w:rPr>
          <w:rFonts w:ascii="黑体" w:hAnsi="黑体" w:eastAsia="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市教育、人力社保和中医药主管部门等应当加强医教协同培养中医药人才，推进中医药毕业后教育与专业学位教育相衔接，建立健全符合中医药特点的住院医师、专科医师规范化培训制度。</w:t>
      </w:r>
    </w:p>
    <w:p>
      <w:pPr>
        <w:autoSpaceDN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市教育、人力社保和中医药主管部门等应当完善中医药继续教育制度，健全各级各类中医药专业技术人员岗位培训标准，针对中医药专业技术岗位服务能力要求，实施专项培训。</w:t>
      </w:r>
    </w:p>
    <w:p>
      <w:pPr>
        <w:autoSpaceDN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市和区中医药主管部门应当加强对基层医务人员中医药基本知识和技能培训，将中医药知识纳入非中医类别医师继续教育培训内容。</w:t>
      </w:r>
    </w:p>
    <w:p>
      <w:pPr>
        <w:autoSpaceDN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中医药专业技术人员应当按照规定参加继续教育，所在机构应当为其接受继续教育创造条件。</w:t>
      </w:r>
    </w:p>
    <w:p>
      <w:pPr>
        <w:autoSpaceDN w:val="0"/>
        <w:spacing w:line="520" w:lineRule="exact"/>
        <w:ind w:firstLine="646"/>
        <w:rPr>
          <w:rFonts w:ascii="仿宋_GB2312" w:hAnsi="仿宋_GB2312" w:eastAsia="仿宋_GB2312" w:cs="仿宋_GB2312"/>
          <w:sz w:val="32"/>
          <w:szCs w:val="32"/>
        </w:rPr>
      </w:pPr>
      <w:r>
        <w:rPr>
          <w:rFonts w:hint="eastAsia" w:ascii="黑体" w:hAnsi="黑体" w:eastAsia="黑体"/>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市和区人民政府应当发展中医药师承教育，支持有丰富临床经验和技术专长的中医医师、中药专业技术人员带徒授业，将师承教育贯穿临床实践教学过程。</w:t>
      </w:r>
    </w:p>
    <w:p>
      <w:pPr>
        <w:autoSpaceDN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市和区中医药主管部门应当加强名老中医药专家、流派传承、基层名老中医等传承工作室建设，增加多层次的师承教育项目，扩大师带徒范围和数量，严格师承教育考核标准。</w:t>
      </w:r>
    </w:p>
    <w:p>
      <w:pPr>
        <w:autoSpaceDN w:val="0"/>
        <w:spacing w:line="520" w:lineRule="exact"/>
        <w:ind w:firstLine="646"/>
        <w:rPr>
          <w:rFonts w:ascii="仿宋_GB2312" w:hAnsi="仿宋_GB2312" w:eastAsia="仿宋_GB2312" w:cs="仿宋_GB2312"/>
          <w:sz w:val="32"/>
          <w:szCs w:val="32"/>
        </w:rPr>
      </w:pPr>
      <w:r>
        <w:rPr>
          <w:rFonts w:ascii="Times New Roman" w:hAnsi="Times New Roman" w:eastAsia="黑体" w:cs="Times New Roman"/>
          <w:sz w:val="32"/>
          <w:szCs w:val="32"/>
        </w:rPr>
        <w:t>第三十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仿宋_GB2312" w:hAnsi="仿宋_GB2312" w:eastAsia="仿宋_GB2312" w:cs="仿宋_GB2312"/>
          <w:sz w:val="32"/>
          <w:szCs w:val="32"/>
        </w:rPr>
        <w:t>市和区人民政府应当发展中西医结合教育，培养高层次的中西医结合人才。</w:t>
      </w:r>
    </w:p>
    <w:p>
      <w:pPr>
        <w:autoSpaceDN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市教育部门、中医药主管部门等应当完善中西医结合人才培养政策、措施，鼓励西医药从业人员学习中医药，鼓励临床医学专业毕业生攻读中医专业学位。</w:t>
      </w:r>
    </w:p>
    <w:p>
      <w:pPr>
        <w:autoSpaceDN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临床类别医师通过中医药学习考核合格后可以参加中西医结合职称评聘。允许攻读中医专业学位的临床医学类专业学生参加中医医师规范化培训。</w:t>
      </w:r>
    </w:p>
    <w:p>
      <w:pPr>
        <w:autoSpaceDN w:val="0"/>
        <w:spacing w:line="520" w:lineRule="exact"/>
        <w:ind w:firstLine="646"/>
        <w:rPr>
          <w:rFonts w:ascii="仿宋_GB2312" w:hAnsi="仿宋_GB2312" w:eastAsia="仿宋_GB2312" w:cs="仿宋_GB2312"/>
          <w:sz w:val="32"/>
          <w:szCs w:val="32"/>
        </w:rPr>
      </w:pPr>
      <w:r>
        <w:rPr>
          <w:rFonts w:ascii="Times New Roman" w:hAnsi="Times New Roman" w:eastAsia="黑体" w:cs="Times New Roman"/>
          <w:sz w:val="32"/>
          <w:szCs w:val="32"/>
        </w:rPr>
        <w:t>第三十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仿宋_GB2312" w:hAnsi="仿宋_GB2312" w:eastAsia="仿宋_GB2312" w:cs="仿宋_GB2312"/>
          <w:sz w:val="32"/>
          <w:szCs w:val="32"/>
        </w:rPr>
        <w:t>本市制定</w:t>
      </w:r>
      <w:r>
        <w:rPr>
          <w:rFonts w:ascii="仿宋_GB2312" w:hAnsi="仿宋_GB2312" w:eastAsia="仿宋_GB2312" w:cs="仿宋_GB2312"/>
          <w:sz w:val="32"/>
          <w:szCs w:val="32"/>
        </w:rPr>
        <w:t>中医药高层次人才</w:t>
      </w:r>
      <w:r>
        <w:rPr>
          <w:rFonts w:hint="eastAsia" w:ascii="仿宋_GB2312" w:hAnsi="仿宋_GB2312" w:eastAsia="仿宋_GB2312" w:cs="仿宋_GB2312"/>
          <w:sz w:val="32"/>
          <w:szCs w:val="32"/>
        </w:rPr>
        <w:t>专项培养计划</w:t>
      </w:r>
      <w:r>
        <w:rPr>
          <w:rFonts w:ascii="仿宋_GB2312" w:hAnsi="仿宋_GB2312" w:eastAsia="仿宋_GB2312" w:cs="仿宋_GB2312"/>
          <w:sz w:val="32"/>
          <w:szCs w:val="32"/>
        </w:rPr>
        <w:t>，培养造就中医药领军人才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支持中医药高层次创新团队建设。</w:t>
      </w:r>
    </w:p>
    <w:p>
      <w:pPr>
        <w:autoSpaceDN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人力社保</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、中医药主管部门应当建立健全名中医评选制度，发挥名中医在学术传承、人才培养中的引领作用。</w:t>
      </w:r>
    </w:p>
    <w:p>
      <w:pPr>
        <w:autoSpaceDN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ascii="仿宋_GB2312" w:hAnsi="仿宋_GB2312" w:eastAsia="仿宋_GB2312" w:cs="仿宋_GB2312"/>
          <w:sz w:val="32"/>
          <w:szCs w:val="32"/>
        </w:rPr>
        <w:t>人力社保</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、中医药主管部门</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当注重中医药人才队伍建设，建立本</w:t>
      </w:r>
      <w:r>
        <w:rPr>
          <w:rFonts w:hint="eastAsia" w:ascii="仿宋_GB2312" w:hAnsi="仿宋_GB2312" w:eastAsia="仿宋_GB2312" w:cs="仿宋_GB2312"/>
          <w:sz w:val="32"/>
          <w:szCs w:val="32"/>
        </w:rPr>
        <w:t>行政区域内</w:t>
      </w:r>
      <w:r>
        <w:rPr>
          <w:rFonts w:ascii="仿宋_GB2312" w:hAnsi="仿宋_GB2312" w:eastAsia="仿宋_GB2312" w:cs="仿宋_GB2312"/>
          <w:sz w:val="32"/>
          <w:szCs w:val="32"/>
        </w:rPr>
        <w:t>的名中医培养和评选制度，加快中医药学术技术带头人和中青年技术骨干的选拔和培养。</w:t>
      </w:r>
    </w:p>
    <w:p>
      <w:pPr>
        <w:autoSpaceDN w:val="0"/>
        <w:spacing w:line="520" w:lineRule="exact"/>
        <w:ind w:firstLine="646"/>
        <w:rPr>
          <w:rFonts w:ascii="仿宋_GB2312" w:hAnsi="仿宋_GB2312" w:eastAsia="仿宋_GB2312" w:cs="仿宋_GB2312"/>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三十七</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人民政府</w:t>
      </w:r>
      <w:r>
        <w:rPr>
          <w:rFonts w:hint="eastAsia" w:ascii="仿宋_GB2312" w:hAnsi="仿宋_GB2312" w:eastAsia="仿宋_GB2312" w:cs="仿宋_GB2312"/>
          <w:sz w:val="32"/>
          <w:szCs w:val="32"/>
        </w:rPr>
        <w:t>应当按照国家和本市有关规定</w:t>
      </w:r>
      <w:r>
        <w:rPr>
          <w:rFonts w:ascii="仿宋_GB2312" w:hAnsi="仿宋_GB2312" w:eastAsia="仿宋_GB2312" w:cs="仿宋_GB2312"/>
          <w:sz w:val="32"/>
          <w:szCs w:val="32"/>
        </w:rPr>
        <w:t>对</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级以上</w:t>
      </w:r>
      <w:r>
        <w:rPr>
          <w:rFonts w:hint="eastAsia" w:ascii="仿宋_GB2312" w:hAnsi="仿宋_GB2312" w:eastAsia="仿宋_GB2312" w:cs="仿宋_GB2312"/>
          <w:sz w:val="32"/>
          <w:szCs w:val="32"/>
        </w:rPr>
        <w:t>中医药人才给予</w:t>
      </w:r>
      <w:r>
        <w:rPr>
          <w:rFonts w:ascii="仿宋_GB2312" w:hAnsi="仿宋_GB2312" w:eastAsia="仿宋_GB2312" w:cs="仿宋_GB2312"/>
          <w:sz w:val="32"/>
          <w:szCs w:val="32"/>
        </w:rPr>
        <w:t>奖励。</w:t>
      </w:r>
    </w:p>
    <w:p>
      <w:pPr>
        <w:autoSpaceDN w:val="0"/>
        <w:spacing w:line="52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市人力社保部门、中医药主管</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应当完善符合中医药岗位特点的中医药人才评价体系、激励体系</w:t>
      </w:r>
      <w:r>
        <w:rPr>
          <w:rFonts w:ascii="仿宋_GB2312" w:hAnsi="仿宋_GB2312" w:eastAsia="仿宋_GB2312" w:cs="仿宋_GB2312"/>
          <w:sz w:val="32"/>
          <w:szCs w:val="32"/>
        </w:rPr>
        <w:t>。</w:t>
      </w:r>
    </w:p>
    <w:p>
      <w:pPr>
        <w:autoSpaceDN w:val="0"/>
        <w:spacing w:line="560" w:lineRule="exact"/>
        <w:jc w:val="center"/>
        <w:rPr>
          <w:rFonts w:ascii="黑体" w:hAnsi="黑体" w:eastAsia="黑体"/>
          <w:sz w:val="32"/>
          <w:szCs w:val="32"/>
        </w:rPr>
      </w:pPr>
      <w:r>
        <w:rPr>
          <w:rFonts w:hint="eastAsia" w:ascii="黑体" w:hAnsi="黑体" w:eastAsia="黑体"/>
          <w:sz w:val="32"/>
          <w:szCs w:val="32"/>
        </w:rPr>
        <w:t>第五章　中医药科研与传承创新</w:t>
      </w:r>
    </w:p>
    <w:p>
      <w:pPr>
        <w:autoSpaceDN w:val="0"/>
        <w:spacing w:line="560" w:lineRule="exact"/>
        <w:ind w:firstLine="640"/>
        <w:rPr>
          <w:rFonts w:ascii="仿宋_GB2312" w:hAnsi="仿宋_GB2312" w:eastAsia="仿宋_GB2312" w:cs="仿宋_GB2312"/>
          <w:sz w:val="32"/>
          <w:szCs w:val="32"/>
        </w:rPr>
      </w:pPr>
      <w:r>
        <w:rPr>
          <w:rFonts w:ascii="黑体" w:hAnsi="黑体" w:eastAsia="黑体"/>
          <w:sz w:val="32"/>
          <w:szCs w:val="32"/>
        </w:rPr>
        <w:t>第</w:t>
      </w:r>
      <w:r>
        <w:rPr>
          <w:rFonts w:hint="eastAsia" w:ascii="黑体" w:hAnsi="黑体" w:eastAsia="黑体"/>
          <w:sz w:val="32"/>
          <w:szCs w:val="32"/>
        </w:rPr>
        <w:t>三十八</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市和区科技部门应当将中医药科学研究和技术开发纳入科学技术发展规划，设立中医药科技研发专项，支持中医药科研平台建设。</w:t>
      </w:r>
    </w:p>
    <w:p>
      <w:pPr>
        <w:autoSpaceDN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市科技部门和中医药主管部门应当协同建立中医药科技管理机制，建立符合中医药规律和特点的科研评价体系，完善中医药科研项目立项、评审、奖励、绩效评价机制，促进中医药创新发展。</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黑体" w:hAnsi="黑体" w:eastAsia="黑体" w:cs="黑体"/>
          <w:kern w:val="0"/>
          <w:sz w:val="32"/>
          <w:szCs w:val="32"/>
          <w:lang w:val="en-US" w:eastAsia="zh-CN"/>
        </w:rPr>
        <w:t xml:space="preserve"> </w:t>
      </w:r>
      <w:r>
        <w:rPr>
          <w:rFonts w:hint="eastAsia" w:ascii="仿宋_GB2312" w:hAnsi="仿宋_GB2312" w:eastAsia="仿宋_GB2312" w:cs="仿宋_GB2312"/>
          <w:sz w:val="32"/>
          <w:szCs w:val="32"/>
        </w:rPr>
        <w:t>市和区中医药主管部门、科技部门等鼓励科研机构、高等学校、医疗机构运用现代科学技术和传统中医药研究方法，加强对中医药古籍文献、中医药专家的学术思想和诊疗经验以及民间中医药技术方法的整理、研究和利用。</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支持企业基于经典名方、名中医经验方、医疗机构制剂的中药新药研发，运用新技术、新工艺、新剂型改进改造已上市中药品种，开展中医医疗器械和中药制药设备研发。</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sz w:val="32"/>
          <w:szCs w:val="32"/>
        </w:rPr>
        <w:t>第四十条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市和区科技部门应当会同中医药主管部门、药监部门建立健全符合中医药特点的科学技术成果管理、评价、转化、奖励机制，组织中医药科技成果推介，促进中医药科技成果转化和推广。</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从事中医药研究的高等学校、科研院所、医疗机构应当全面落实科技成果转化、收益、分配制度,对完成科技成果转化做出重要贡献的人员依法予以奖励。</w:t>
      </w:r>
    </w:p>
    <w:p>
      <w:pPr>
        <w:autoSpaceDN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第四十一条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本市依法保护中医药知识产权。鼓励组织和个人通过申请专利、注册商标、地理标志等方式，对中医药特色技术、方法、产品等进行知识产权保护。</w:t>
      </w:r>
    </w:p>
    <w:p>
      <w:pPr>
        <w:widowControl/>
        <w:shd w:val="clear" w:color="auto" w:fill="FFFFFF"/>
        <w:spacing w:line="520" w:lineRule="exact"/>
        <w:ind w:firstLine="640" w:firstLineChars="200"/>
        <w:jc w:val="left"/>
        <w:rPr>
          <w:rFonts w:ascii="仿宋_GB2312" w:hAnsi="仿宋_GB2312" w:eastAsia="仿宋_GB2312" w:cs="仿宋_GB2312"/>
          <w:sz w:val="32"/>
          <w:szCs w:val="32"/>
        </w:rPr>
      </w:pPr>
      <w:r>
        <w:rPr>
          <w:rFonts w:hint="eastAsia" w:ascii="黑体" w:hAnsi="黑体" w:eastAsia="黑体"/>
          <w:sz w:val="32"/>
          <w:szCs w:val="32"/>
        </w:rPr>
        <w:t>第四十二条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市和区中医药主管部门应当组织开展继承名老中医药专家学术思想和临床诊疗经验的工作，支持对传统制药、鉴定、炮制技术及老药工经验的继承应用。</w:t>
      </w:r>
    </w:p>
    <w:p>
      <w:pPr>
        <w:widowControl/>
        <w:shd w:val="clear" w:color="auto" w:fill="FFFFFF"/>
        <w:spacing w:line="520" w:lineRule="exact"/>
        <w:ind w:firstLine="64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支持中药验方收集、保存、研究评价及推广应用。支持民间中医诊疗技术和方药挖掘。支持珍贵古籍文献保护利用。</w:t>
      </w:r>
    </w:p>
    <w:p>
      <w:pPr>
        <w:widowControl/>
        <w:shd w:val="clear" w:color="auto" w:fill="FFFFFF"/>
        <w:spacing w:line="560" w:lineRule="exact"/>
        <w:ind w:firstLine="641"/>
        <w:jc w:val="left"/>
        <w:rPr>
          <w:rFonts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黑体" w:hAnsi="黑体" w:eastAsia="黑体" w:cs="黑体"/>
          <w:kern w:val="0"/>
          <w:sz w:val="32"/>
          <w:szCs w:val="32"/>
          <w:lang w:val="en-US" w:eastAsia="zh-CN"/>
        </w:rPr>
        <w:t xml:space="preserve"> </w:t>
      </w:r>
      <w:r>
        <w:rPr>
          <w:rFonts w:hint="eastAsia" w:ascii="仿宋_GB2312" w:hAnsi="仿宋_GB2312" w:eastAsia="仿宋_GB2312" w:cs="仿宋_GB2312"/>
          <w:sz w:val="32"/>
          <w:szCs w:val="32"/>
        </w:rPr>
        <w:t>市和区人民政府鼓励组织和个人捐献有科学研究或者临床应用价值的中医药文物、文献、秘方、验方、诊疗方法和技术工艺等。</w:t>
      </w:r>
    </w:p>
    <w:p>
      <w:pPr>
        <w:autoSpaceDN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sz w:val="32"/>
          <w:szCs w:val="32"/>
        </w:rPr>
        <w:t>第四十四条</w:t>
      </w:r>
      <w:r>
        <w:rPr>
          <w:rFonts w:hint="eastAsia" w:ascii="黑体" w:hAnsi="黑体" w:eastAsia="黑体" w:cs="黑体"/>
          <w:kern w:val="0"/>
          <w:sz w:val="32"/>
          <w:szCs w:val="32"/>
          <w:lang w:val="en-US" w:eastAsia="zh-CN"/>
        </w:rPr>
        <w:t xml:space="preserve"> </w:t>
      </w:r>
      <w:r>
        <w:rPr>
          <w:rFonts w:hint="eastAsia" w:ascii="仿宋_GB2312" w:hAnsi="仿宋_GB2312" w:eastAsia="仿宋_GB2312" w:cs="仿宋_GB2312"/>
          <w:kern w:val="0"/>
          <w:sz w:val="32"/>
          <w:szCs w:val="32"/>
          <w:shd w:val="clear" w:color="auto" w:fill="FFFFFF"/>
        </w:rPr>
        <w:t>本市支持建设中医药博物馆和中医药文化宣传基地，鼓励博物馆、科普场馆开展中医药文化主题展览。</w:t>
      </w:r>
    </w:p>
    <w:p>
      <w:pPr>
        <w:autoSpaceDN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市和区中医药主管部门应当开展中医药文化科普活动，深入挖掘中医药文化内涵，培育中医药文化科普队伍，宣传中医药文化核心价值和理念，定期开展市民中医药文化素养调查和评价。 </w:t>
      </w:r>
    </w:p>
    <w:p>
      <w:pPr>
        <w:autoSpaceDN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中医药行业组织、科研机构应当发挥专业优势，普及中医药防病治病、养生保健知识，加强中医药文化研究。</w:t>
      </w:r>
    </w:p>
    <w:p>
      <w:pPr>
        <w:autoSpaceDN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鼓励组织和个人创作中医药文化和科普作品。</w:t>
      </w:r>
    </w:p>
    <w:p>
      <w:pPr>
        <w:autoSpaceDN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黑体" w:hAnsi="黑体" w:eastAsia="黑体"/>
          <w:color w:val="000000" w:themeColor="text1"/>
          <w:sz w:val="32"/>
          <w:szCs w:val="32"/>
        </w:rPr>
        <w:t>第四十五</w:t>
      </w:r>
      <w:r>
        <w:rPr>
          <w:rFonts w:hint="eastAsia" w:ascii="黑体" w:hAnsi="黑体" w:eastAsia="黑体" w:cs="仿宋"/>
          <w:color w:val="000000" w:themeColor="text1"/>
          <w:sz w:val="32"/>
          <w:szCs w:val="32"/>
        </w:rPr>
        <w:t>条</w:t>
      </w:r>
      <w:r>
        <w:rPr>
          <w:rFonts w:hint="eastAsia" w:ascii="黑体" w:hAnsi="黑体" w:eastAsia="黑体" w:cs="仿宋"/>
          <w:color w:val="000000" w:themeColor="text1"/>
          <w:sz w:val="32"/>
          <w:szCs w:val="32"/>
          <w:lang w:val="en-US" w:eastAsia="zh-CN"/>
        </w:rPr>
        <w:t xml:space="preserve"> </w:t>
      </w:r>
      <w:r>
        <w:rPr>
          <w:rFonts w:hint="eastAsia" w:ascii="仿宋_GB2312" w:hAnsi="仿宋_GB2312" w:eastAsia="仿宋_GB2312" w:cs="仿宋_GB2312"/>
          <w:color w:val="000000" w:themeColor="text1"/>
          <w:kern w:val="0"/>
          <w:sz w:val="32"/>
          <w:szCs w:val="32"/>
          <w:shd w:val="clear" w:color="auto" w:fill="FFFFFF"/>
        </w:rPr>
        <w:t>教育部门、中医药主管部门应当支持、指导学校等教育机构将中医药文化和知识纳入教育教学活动。</w:t>
      </w:r>
    </w:p>
    <w:p>
      <w:pPr>
        <w:autoSpaceDN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sz w:val="32"/>
          <w:szCs w:val="32"/>
        </w:rPr>
        <w:t>第四十六</w:t>
      </w:r>
      <w:r>
        <w:rPr>
          <w:rFonts w:hint="eastAsia" w:ascii="黑体" w:hAnsi="黑体" w:eastAsia="黑体" w:cs="仿宋"/>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开展中医药文化宣传和知识普及活动，应当遵守国家有关规定，符合中医药文化内涵和发展规律。</w:t>
      </w:r>
    </w:p>
    <w:p>
      <w:pPr>
        <w:autoSpaceDN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广播、电视、报刊、互联网等媒体开展中医药宣传，应当聘请中医药专业技术人员。</w:t>
      </w:r>
    </w:p>
    <w:p>
      <w:pPr>
        <w:autoSpaceDN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任何组织和个人不得对中医药作虚假、夸大宣传，不得冒用中医药名义牟取不正当利益。</w:t>
      </w:r>
    </w:p>
    <w:p>
      <w:pPr>
        <w:autoSpaceDN w:val="0"/>
        <w:spacing w:line="52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第四十七条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市和区人民政府应当支持中医药学术交流，推进中医药医疗服务、技术合作、科技成果转让、科研课题合作研究等活动。</w:t>
      </w:r>
    </w:p>
    <w:p>
      <w:pPr>
        <w:autoSpaceDN w:val="0"/>
        <w:spacing w:line="52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支持参与中医药国际标准的研究与制定。支持建设中医药海外中心，发展中医药国际贸易，促进中医药的国际传播和推广。</w:t>
      </w:r>
    </w:p>
    <w:p>
      <w:pPr>
        <w:autoSpaceDN w:val="0"/>
        <w:spacing w:line="560" w:lineRule="exact"/>
        <w:jc w:val="center"/>
        <w:rPr>
          <w:rFonts w:ascii="黑体" w:hAnsi="黑体" w:eastAsia="黑体" w:cs="黑体"/>
          <w:sz w:val="32"/>
          <w:szCs w:val="32"/>
        </w:rPr>
      </w:pPr>
      <w:r>
        <w:rPr>
          <w:rFonts w:hint="eastAsia" w:ascii="黑体" w:hAnsi="黑体" w:eastAsia="黑体" w:cs="黑体"/>
          <w:sz w:val="32"/>
          <w:szCs w:val="32"/>
        </w:rPr>
        <w:t>第六章　保障措施</w:t>
      </w:r>
    </w:p>
    <w:p>
      <w:pPr>
        <w:autoSpaceDN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市和区人民政府应当将中医药事业发展经费纳入本级财政预算，建立持续稳定的中医药发展多元投入机制，统筹安排用于支持中医药医疗、教育、人才培养、科技创新和科技成果产业化等重点项目。</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各级人民政府安排的中医药事业发展经费，应当专项用于扶持中医药事业发展。</w:t>
      </w:r>
    </w:p>
    <w:p>
      <w:pPr>
        <w:autoSpaceDN w:val="0"/>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第四十九条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市医保部门应当充分考虑中医医疗服务特点，完善分级定价政策，落实医疗服务价格动态调整机制，每年开展价格评估，将符合条件的中医诊疗项目和医疗机构院内制剂纳入基本医疗保险基金支付和调价范围。</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制定和调整中医医疗服务的收费项目和标准应当听取各方面意见，组织专家评审论证，体现中医医疗服务成本和专业技术价值。</w:t>
      </w:r>
    </w:p>
    <w:p>
      <w:pPr>
        <w:autoSpaceDN w:val="0"/>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第五十条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开展下列与中医药有关的评审、评估活动时，应当成立专门组织，或者由中医药专家主导：</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（一）纳入基本医疗保险药品和诊疗项目目录的中药药品、中医诊疗技术评选；</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（二）中医医疗服务收费项目和价格标准的制定、调整；</w:t>
      </w:r>
    </w:p>
    <w:p>
      <w:pPr>
        <w:autoSpaceDN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（三）中医药专业技术职务任职资格评审；</w:t>
      </w:r>
    </w:p>
    <w:p>
      <w:pPr>
        <w:autoSpaceDN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（四）中医药医疗、教学、科研机构评审、评估；</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（五）中医药科研项目评审、成果鉴定</w:t>
      </w:r>
      <w:r>
        <w:rPr>
          <w:rFonts w:hint="eastAsia" w:ascii="仿宋_GB2312" w:hAnsi="仿宋_GB2312" w:eastAsia="仿宋_GB2312" w:cs="仿宋_GB2312"/>
          <w:sz w:val="32"/>
          <w:szCs w:val="32"/>
        </w:rPr>
        <w:t>；</w:t>
      </w:r>
    </w:p>
    <w:p>
      <w:pPr>
        <w:autoSpaceDN w:val="0"/>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（六）其他与中医药评审、评估有关的活动。</w:t>
      </w:r>
    </w:p>
    <w:p>
      <w:pPr>
        <w:spacing w:line="600" w:lineRule="exact"/>
        <w:ind w:firstLine="640" w:firstLineChars="200"/>
        <w:rPr>
          <w:rFonts w:ascii="Times New Roman" w:hAnsi="Times New Roman" w:eastAsia="仿宋_GB2312" w:cs="Times New Roman"/>
          <w:color w:val="000000" w:themeColor="text1"/>
          <w:sz w:val="32"/>
          <w:szCs w:val="32"/>
        </w:rPr>
      </w:pPr>
      <w:r>
        <w:rPr>
          <w:rFonts w:ascii="黑体" w:hAnsi="黑体" w:eastAsia="黑体" w:cs="黑体"/>
          <w:color w:val="000000" w:themeColor="text1"/>
          <w:sz w:val="32"/>
          <w:szCs w:val="32"/>
        </w:rPr>
        <w:t>第</w:t>
      </w:r>
      <w:r>
        <w:rPr>
          <w:rFonts w:hint="eastAsia" w:ascii="黑体" w:hAnsi="黑体" w:eastAsia="黑体" w:cs="黑体"/>
          <w:color w:val="000000" w:themeColor="text1"/>
          <w:sz w:val="32"/>
          <w:szCs w:val="32"/>
        </w:rPr>
        <w:t>五十一</w:t>
      </w:r>
      <w:r>
        <w:rPr>
          <w:rFonts w:ascii="黑体" w:hAnsi="黑体" w:eastAsia="黑体" w:cs="黑体"/>
          <w:color w:val="000000" w:themeColor="text1"/>
          <w:sz w:val="32"/>
          <w:szCs w:val="32"/>
        </w:rPr>
        <w:t>条</w:t>
      </w:r>
      <w:r>
        <w:rPr>
          <w:rFonts w:hint="eastAsia" w:ascii="黑体" w:hAnsi="黑体" w:eastAsia="黑体" w:cs="黑体"/>
          <w:color w:val="000000" w:themeColor="text1"/>
          <w:sz w:val="32"/>
          <w:szCs w:val="32"/>
          <w:lang w:val="en-US" w:eastAsia="zh-CN"/>
        </w:rPr>
        <w:t xml:space="preserve"> </w:t>
      </w:r>
      <w:r>
        <w:rPr>
          <w:rFonts w:ascii="Times New Roman" w:hAnsi="Times New Roman" w:eastAsia="仿宋_GB2312" w:cs="Times New Roman"/>
          <w:color w:val="000000" w:themeColor="text1"/>
          <w:sz w:val="32"/>
          <w:szCs w:val="32"/>
        </w:rPr>
        <w:t>对有下列情形之一的</w:t>
      </w:r>
      <w:r>
        <w:rPr>
          <w:rFonts w:hint="eastAsia" w:ascii="Times New Roman" w:hAnsi="Times New Roman" w:eastAsia="仿宋_GB2312" w:cs="Times New Roman"/>
          <w:color w:val="000000" w:themeColor="text1"/>
          <w:sz w:val="32"/>
          <w:szCs w:val="32"/>
        </w:rPr>
        <w:t>组织</w:t>
      </w:r>
      <w:r>
        <w:rPr>
          <w:rFonts w:ascii="Times New Roman" w:hAnsi="Times New Roman" w:eastAsia="仿宋_GB2312" w:cs="Times New Roman"/>
          <w:color w:val="000000" w:themeColor="text1"/>
          <w:sz w:val="32"/>
          <w:szCs w:val="32"/>
        </w:rPr>
        <w:t>和个人，由</w:t>
      </w:r>
      <w:r>
        <w:rPr>
          <w:rFonts w:hint="eastAsia" w:ascii="Times New Roman" w:hAnsi="Times New Roman" w:eastAsia="仿宋_GB2312" w:cs="Times New Roman"/>
          <w:color w:val="000000" w:themeColor="text1"/>
          <w:sz w:val="32"/>
          <w:szCs w:val="32"/>
        </w:rPr>
        <w:t>市和区</w:t>
      </w:r>
      <w:r>
        <w:rPr>
          <w:rFonts w:ascii="Times New Roman" w:hAnsi="Times New Roman" w:eastAsia="仿宋_GB2312" w:cs="Times New Roman"/>
          <w:color w:val="000000" w:themeColor="text1"/>
          <w:sz w:val="32"/>
          <w:szCs w:val="32"/>
        </w:rPr>
        <w:t>人民政府或者中医药主管部门给予表彰或者奖励：</w:t>
      </w:r>
    </w:p>
    <w:p>
      <w:pPr>
        <w:spacing w:line="360" w:lineRule="auto"/>
        <w:ind w:firstLine="640" w:firstLineChars="200"/>
        <w:rPr>
          <w:rFonts w:ascii="Times New Roman" w:hAnsi="Times New Roman" w:eastAsia="仿宋_GB2312" w:cs="Times New Roman"/>
          <w:color w:val="000000" w:themeColor="text1"/>
          <w:spacing w:val="-11"/>
          <w:sz w:val="32"/>
          <w:szCs w:val="32"/>
        </w:rPr>
      </w:pPr>
      <w:r>
        <w:rPr>
          <w:rFonts w:ascii="Times New Roman" w:hAnsi="Times New Roman" w:eastAsia="仿宋_GB2312" w:cs="Times New Roman"/>
          <w:color w:val="000000" w:themeColor="text1"/>
          <w:sz w:val="32"/>
          <w:szCs w:val="32"/>
        </w:rPr>
        <w:t>（一）在</w:t>
      </w:r>
      <w:r>
        <w:rPr>
          <w:rFonts w:ascii="Times New Roman" w:hAnsi="Times New Roman" w:eastAsia="仿宋_GB2312" w:cs="Times New Roman"/>
          <w:color w:val="000000" w:themeColor="text1"/>
          <w:spacing w:val="-11"/>
          <w:sz w:val="32"/>
          <w:szCs w:val="32"/>
        </w:rPr>
        <w:t>中医药医疗、教育、科研和管理方面取得突出成绩的；</w:t>
      </w: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二</w:t>
      </w:r>
      <w:r>
        <w:rPr>
          <w:rFonts w:ascii="Times New Roman" w:hAnsi="Times New Roman" w:eastAsia="仿宋_GB2312" w:cs="Times New Roman"/>
          <w:color w:val="000000" w:themeColor="text1"/>
          <w:sz w:val="32"/>
          <w:szCs w:val="32"/>
        </w:rPr>
        <w:t>）捐献具有独特疗效的民间中医药诊疗方法和有价值的中医药文献、文物、秘方、验方的；</w:t>
      </w: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三</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pacing w:val="6"/>
          <w:sz w:val="32"/>
          <w:szCs w:val="32"/>
        </w:rPr>
        <w:t>非</w:t>
      </w:r>
      <w:r>
        <w:rPr>
          <w:rFonts w:ascii="Times New Roman" w:hAnsi="Times New Roman" w:eastAsia="仿宋_GB2312" w:cs="Times New Roman"/>
          <w:color w:val="000000" w:themeColor="text1"/>
          <w:sz w:val="32"/>
          <w:szCs w:val="32"/>
        </w:rPr>
        <w:t>物质文化遗产代表性项目传承</w:t>
      </w:r>
      <w:r>
        <w:rPr>
          <w:rFonts w:hint="eastAsia" w:ascii="Times New Roman" w:hAnsi="Times New Roman" w:eastAsia="仿宋_GB2312" w:cs="Times New Roman"/>
          <w:color w:val="000000" w:themeColor="text1"/>
          <w:sz w:val="32"/>
          <w:szCs w:val="32"/>
        </w:rPr>
        <w:t>人</w:t>
      </w:r>
      <w:r>
        <w:rPr>
          <w:rFonts w:ascii="Times New Roman" w:hAnsi="Times New Roman" w:eastAsia="仿宋_GB2312" w:cs="Times New Roman"/>
          <w:color w:val="000000" w:themeColor="text1"/>
          <w:sz w:val="32"/>
          <w:szCs w:val="32"/>
        </w:rPr>
        <w:t>或</w:t>
      </w:r>
      <w:r>
        <w:rPr>
          <w:rFonts w:hint="eastAsia" w:ascii="Times New Roman" w:hAnsi="Times New Roman" w:eastAsia="仿宋_GB2312" w:cs="Times New Roman"/>
          <w:color w:val="000000" w:themeColor="text1"/>
          <w:sz w:val="32"/>
          <w:szCs w:val="32"/>
        </w:rPr>
        <w:t>者</w:t>
      </w:r>
      <w:r>
        <w:rPr>
          <w:rFonts w:ascii="Times New Roman" w:hAnsi="Times New Roman" w:eastAsia="仿宋_GB2312" w:cs="Times New Roman"/>
          <w:color w:val="000000" w:themeColor="text1"/>
          <w:sz w:val="32"/>
          <w:szCs w:val="32"/>
        </w:rPr>
        <w:t>知名中医药专家带徒授业，取得突出成绩的；</w:t>
      </w:r>
    </w:p>
    <w:p>
      <w:pPr>
        <w:spacing w:line="360" w:lineRule="auto"/>
        <w:ind w:firstLine="640" w:firstLineChars="200"/>
        <w:rPr>
          <w:rFonts w:ascii="Times New Roman" w:hAnsi="Times New Roman" w:eastAsia="仿宋_GB2312" w:cs="Times New Roman"/>
          <w:color w:val="000000" w:themeColor="text1"/>
          <w:spacing w:val="-1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四</w:t>
      </w:r>
      <w:r>
        <w:rPr>
          <w:rFonts w:ascii="Times New Roman" w:hAnsi="Times New Roman" w:eastAsia="仿宋_GB2312" w:cs="Times New Roman"/>
          <w:color w:val="000000" w:themeColor="text1"/>
          <w:sz w:val="32"/>
          <w:szCs w:val="32"/>
        </w:rPr>
        <w:t>）长</w:t>
      </w:r>
      <w:r>
        <w:rPr>
          <w:rFonts w:ascii="Times New Roman" w:hAnsi="Times New Roman" w:eastAsia="仿宋_GB2312" w:cs="Times New Roman"/>
          <w:color w:val="000000" w:themeColor="text1"/>
          <w:spacing w:val="-11"/>
          <w:sz w:val="32"/>
          <w:szCs w:val="32"/>
        </w:rPr>
        <w:t>期在基层医疗卫生机构从事中医药工作成绩显著的；</w:t>
      </w:r>
    </w:p>
    <w:p>
      <w:pPr>
        <w:spacing w:line="360" w:lineRule="auto"/>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（五）其他在发展中医药事业方面做出突出贡献的。</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第五十二条</w:t>
      </w:r>
      <w:r>
        <w:rPr>
          <w:rFonts w:hint="eastAsia" w:ascii="黑体" w:hAnsi="黑体" w:eastAsia="黑体"/>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市和区中医药主管部门、市场监管和药监部门等应当加强中医药监督管理能力建设，合理配备人员力量，开展中医药服务监督检查。</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市和区中医药主管部门应当会同有关部门加强中医药信用体系建设，依法开展中医药守信激励、失信惩戒。</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市和区市场监管部门应当会同有关部门加强对中医养生保健机构的监督管理，依法查处养生保健服务中的虚假宣传和欺诈行为。</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市和区药品监管部门应当加强对中药材、中药饮片质量的监督抽查，并定期公告质量抽查检验结果。</w:t>
      </w:r>
    </w:p>
    <w:p>
      <w:pPr>
        <w:autoSpaceDN w:val="0"/>
        <w:spacing w:line="56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七</w:t>
      </w:r>
      <w:r>
        <w:rPr>
          <w:rFonts w:ascii="黑体" w:hAnsi="黑体" w:eastAsia="黑体"/>
          <w:sz w:val="32"/>
          <w:szCs w:val="32"/>
        </w:rPr>
        <w:t>章</w:t>
      </w:r>
      <w:r>
        <w:rPr>
          <w:rFonts w:hint="eastAsia" w:ascii="黑体" w:hAnsi="黑体" w:eastAsia="黑体"/>
          <w:sz w:val="32"/>
          <w:szCs w:val="32"/>
        </w:rPr>
        <w:t>　法律责任</w:t>
      </w:r>
    </w:p>
    <w:p>
      <w:pPr>
        <w:autoSpaceDN w:val="0"/>
        <w:spacing w:line="560" w:lineRule="exact"/>
        <w:ind w:firstLine="645"/>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第五十三条</w:t>
      </w:r>
      <w:r>
        <w:rPr>
          <w:rFonts w:hint="eastAsia" w:ascii="黑体" w:hAnsi="黑体" w:eastAsia="黑体"/>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市和区中医药主管部门及其他有关部门未履行本条例规定职责的，由本级人民政府或者上级人民政府有关部门责令改正；情节严重的，对直接负责的主管人员和其他直接责任人员，依法给予处分。</w:t>
      </w:r>
    </w:p>
    <w:p>
      <w:pPr>
        <w:autoSpaceDN w:val="0"/>
        <w:spacing w:line="560" w:lineRule="exact"/>
        <w:ind w:firstLine="64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擅自合并、撤销政府举办的中医医疗机构或者改变其性质的，由本级人民政府或者上级人民政府有关部门责令改正；情节严重的，对直接负责的主管人员和其他直接责任人员，依法给予处分。</w:t>
      </w:r>
    </w:p>
    <w:p>
      <w:pPr>
        <w:autoSpaceDN w:val="0"/>
        <w:spacing w:line="560" w:lineRule="exact"/>
        <w:ind w:firstLine="640" w:firstLineChars="200"/>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第五十四条</w:t>
      </w:r>
      <w:r>
        <w:rPr>
          <w:rFonts w:hint="eastAsia" w:ascii="黑体" w:hAnsi="黑体" w:eastAsia="黑体"/>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违反本条例规定，中医养生保健机构开展医疗活动的，由卫生健康部门、市场监管部门依法处理。</w:t>
      </w:r>
    </w:p>
    <w:p>
      <w:pPr>
        <w:autoSpaceDN w:val="0"/>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rPr>
        <w:t>中医养生保健机构使用带有中医医疗特征的名称或者进行带有中医医疗性质的宣传的，由市场监管部门依法处理。</w:t>
      </w:r>
    </w:p>
    <w:p>
      <w:pPr>
        <w:autoSpaceDN w:val="0"/>
        <w:spacing w:line="560" w:lineRule="exact"/>
        <w:ind w:firstLine="640" w:firstLineChars="200"/>
        <w:rPr>
          <w:rFonts w:ascii="仿宋_GB2312" w:hAnsi="黑体" w:eastAsia="仿宋_GB2312"/>
          <w:b/>
          <w:color w:val="000000" w:themeColor="text1"/>
          <w:sz w:val="32"/>
          <w:szCs w:val="32"/>
        </w:rPr>
      </w:pPr>
      <w:r>
        <w:rPr>
          <w:rFonts w:hint="eastAsia" w:ascii="黑体" w:hAnsi="黑体" w:eastAsia="黑体" w:cs="黑体"/>
          <w:color w:val="000000" w:themeColor="text1"/>
          <w:sz w:val="32"/>
          <w:szCs w:val="32"/>
        </w:rPr>
        <w:t>第五十五条</w:t>
      </w:r>
      <w:r>
        <w:rPr>
          <w:rFonts w:hint="eastAsia" w:ascii="黑体" w:hAnsi="黑体" w:eastAsia="黑体" w:cs="黑体"/>
          <w:color w:val="000000" w:themeColor="text1"/>
          <w:sz w:val="32"/>
          <w:szCs w:val="32"/>
          <w:lang w:val="en-US" w:eastAsia="zh-CN"/>
        </w:rPr>
        <w:t xml:space="preserve"> </w:t>
      </w:r>
      <w:r>
        <w:rPr>
          <w:rFonts w:ascii="仿宋_GB2312" w:hAnsi="仿宋_GB2312" w:eastAsia="仿宋_GB2312" w:cs="仿宋_GB2312"/>
          <w:color w:val="000000" w:themeColor="text1"/>
          <w:sz w:val="32"/>
          <w:szCs w:val="32"/>
        </w:rPr>
        <w:t>违反本条例规定的行为，法律或者行政法规已有处理规定的，从其规定；构成犯罪的，依法追究刑事责任。</w:t>
      </w:r>
    </w:p>
    <w:p>
      <w:pPr>
        <w:autoSpaceDN w:val="0"/>
        <w:spacing w:line="56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八</w:t>
      </w:r>
      <w:r>
        <w:rPr>
          <w:rFonts w:ascii="黑体" w:hAnsi="黑体" w:eastAsia="黑体"/>
          <w:sz w:val="32"/>
          <w:szCs w:val="32"/>
        </w:rPr>
        <w:t>章</w:t>
      </w:r>
      <w:r>
        <w:rPr>
          <w:rFonts w:hint="eastAsia" w:ascii="黑体" w:hAnsi="黑体" w:eastAsia="黑体"/>
          <w:sz w:val="32"/>
          <w:szCs w:val="32"/>
        </w:rPr>
        <w:t>　附则</w:t>
      </w:r>
    </w:p>
    <w:p>
      <w:pPr>
        <w:autoSpaceDN w:val="0"/>
        <w:spacing w:line="560" w:lineRule="exact"/>
        <w:ind w:firstLine="640" w:firstLineChars="200"/>
        <w:jc w:val="left"/>
        <w:rPr>
          <w:rFonts w:ascii="仿宋" w:hAnsi="仿宋" w:eastAsia="仿宋" w:cs="仿宋"/>
          <w:color w:val="000000" w:themeColor="text1"/>
          <w:sz w:val="32"/>
          <w:szCs w:val="32"/>
        </w:rPr>
      </w:pPr>
      <w:r>
        <w:rPr>
          <w:rFonts w:ascii="黑体" w:hAnsi="黑体" w:eastAsia="黑体"/>
          <w:color w:val="000000" w:themeColor="text1"/>
          <w:sz w:val="32"/>
          <w:szCs w:val="32"/>
        </w:rPr>
        <w:t>第</w:t>
      </w:r>
      <w:r>
        <w:rPr>
          <w:rFonts w:hint="eastAsia" w:ascii="黑体" w:hAnsi="黑体" w:eastAsia="黑体"/>
          <w:color w:val="000000" w:themeColor="text1"/>
          <w:sz w:val="32"/>
          <w:szCs w:val="32"/>
        </w:rPr>
        <w:t>五十六</w:t>
      </w:r>
      <w:r>
        <w:rPr>
          <w:rFonts w:ascii="黑体" w:hAnsi="黑体" w:eastAsia="黑体"/>
          <w:color w:val="000000" w:themeColor="text1"/>
          <w:sz w:val="32"/>
          <w:szCs w:val="32"/>
        </w:rPr>
        <w:t>条</w:t>
      </w:r>
      <w:r>
        <w:rPr>
          <w:rFonts w:hint="eastAsia" w:eastAsia="黑体"/>
          <w:bCs/>
          <w:color w:val="000000" w:themeColor="text1"/>
          <w:kern w:val="0"/>
          <w:sz w:val="32"/>
          <w:szCs w:val="32"/>
          <w:lang w:val="en-US" w:eastAsia="zh-CN"/>
        </w:rPr>
        <w:t xml:space="preserve"> </w:t>
      </w:r>
      <w:r>
        <w:rPr>
          <w:rFonts w:ascii="仿宋_GB2312" w:hAnsi="仿宋_GB2312" w:eastAsia="仿宋_GB2312" w:cs="仿宋_GB2312"/>
          <w:color w:val="000000" w:themeColor="text1"/>
          <w:sz w:val="32"/>
          <w:szCs w:val="32"/>
        </w:rPr>
        <w:t>本条例自  年  月  日起施行。</w:t>
      </w:r>
    </w:p>
    <w:p>
      <w:pPr>
        <w:autoSpaceDN w:val="0"/>
        <w:spacing w:line="560" w:lineRule="exact"/>
        <w:ind w:firstLine="640" w:firstLineChars="200"/>
        <w:rPr>
          <w:rFonts w:ascii="仿宋" w:hAnsi="仿宋" w:eastAsia="仿宋" w:cs="仿宋"/>
          <w:sz w:val="32"/>
          <w:szCs w:val="32"/>
        </w:rPr>
      </w:pPr>
    </w:p>
    <w:sectPr>
      <w:footerReference r:id="rId3" w:type="default"/>
      <w:footerReference r:id="rId4" w:type="even"/>
      <w:pgSz w:w="11906" w:h="16838"/>
      <w:pgMar w:top="2041" w:right="1531" w:bottom="1701" w:left="1531"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left:383.15pt;margin-top:0pt;height:144pt;width:144pt;mso-position-horizontal-relative:margin;mso-wrap-style:none;z-index:251658240;mso-width-relative:page;mso-height-relative:page;" filled="f" stroked="f" coordsize="21600,21600" o:gfxdata="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9BZtY1QAAAAkBAAAPAAAAAAAAAAEAIAAAADgAAABkcnMvZG93bnJldi54bWxQSwECFAAUAAAA&#10;CACHTuJAdBVQXRQCAAAVBAAADgAAAAAAAAABACAAAAA6AQAAZHJzL2Uyb0RvYy54bWxQSwUGAAAA&#10;AAYABgBZAQAAwAUAAAAA&#10;">
          <v:path/>
          <v:fill on="f" focussize="0,0"/>
          <v:stroke on="f" weight="0.5pt" joinstyle="miter"/>
          <v:imagedata o:title=""/>
          <o:lock v:ext="edit"/>
          <v:textbox inset="0mm,0mm,0mm,0mm" style="mso-fit-shape-to-text:t;">
            <w:txbxContent>
              <w:p>
                <w:pPr>
                  <w:pStyle w:val="8"/>
                  <w:jc w:val="both"/>
                  <w:rPr>
                    <w:sz w:val="24"/>
                    <w:szCs w:val="24"/>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7" o:spid="_x0000_s1027" o:spt="202" type="#_x0000_t202" style="position:absolute;left:0pt;margin-left:6.1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V1Lpm9IAAAAHAQAADwAAAAAAAAABACAAAAA4AAAAZHJzL2Rvd25yZXYueG1sUEsBAhQAFAAAAAgA&#10;h07iQKKc1bQVAgAAFQQAAA4AAAAAAAAAAQAgAAAANwEAAGRycy9lMm9Eb2MueG1sUEsFBgAAAAAG&#10;AAYAWQEAAL4FAAAAAA==&#10;">
          <v:path/>
          <v:fill on="f" focussize="0,0"/>
          <v:stroke on="f" weight="0.5pt" joinstyle="miter"/>
          <v:imagedata o:title=""/>
          <o:lock v:ext="edit"/>
          <v:textbox inset="0mm,0mm,0mm,0mm" style="mso-fit-shape-to-text:t;">
            <w:txbxContent>
              <w:p>
                <w:pPr>
                  <w:pStyle w:val="8"/>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7449"/>
    <w:rsid w:val="000004D1"/>
    <w:rsid w:val="00002921"/>
    <w:rsid w:val="00011034"/>
    <w:rsid w:val="00014DA0"/>
    <w:rsid w:val="00017449"/>
    <w:rsid w:val="00020409"/>
    <w:rsid w:val="0002135A"/>
    <w:rsid w:val="00021F73"/>
    <w:rsid w:val="00022343"/>
    <w:rsid w:val="00023FD8"/>
    <w:rsid w:val="00024FD9"/>
    <w:rsid w:val="00025456"/>
    <w:rsid w:val="00025AEC"/>
    <w:rsid w:val="00025DC2"/>
    <w:rsid w:val="00027198"/>
    <w:rsid w:val="00030FA0"/>
    <w:rsid w:val="0003142C"/>
    <w:rsid w:val="0003363B"/>
    <w:rsid w:val="00033668"/>
    <w:rsid w:val="00034DD2"/>
    <w:rsid w:val="0003582A"/>
    <w:rsid w:val="0003656D"/>
    <w:rsid w:val="000369C3"/>
    <w:rsid w:val="0004010D"/>
    <w:rsid w:val="00040B1E"/>
    <w:rsid w:val="0004190E"/>
    <w:rsid w:val="00042C9B"/>
    <w:rsid w:val="000444D5"/>
    <w:rsid w:val="00044AFF"/>
    <w:rsid w:val="00046476"/>
    <w:rsid w:val="000465D2"/>
    <w:rsid w:val="000506D8"/>
    <w:rsid w:val="00050FFC"/>
    <w:rsid w:val="00051CF5"/>
    <w:rsid w:val="00054728"/>
    <w:rsid w:val="00055149"/>
    <w:rsid w:val="00056D4C"/>
    <w:rsid w:val="00061F71"/>
    <w:rsid w:val="00066696"/>
    <w:rsid w:val="0007151A"/>
    <w:rsid w:val="00074E7A"/>
    <w:rsid w:val="0007645B"/>
    <w:rsid w:val="0007664C"/>
    <w:rsid w:val="00080A0A"/>
    <w:rsid w:val="00083CAB"/>
    <w:rsid w:val="0008418D"/>
    <w:rsid w:val="00085629"/>
    <w:rsid w:val="00087BCB"/>
    <w:rsid w:val="000912D0"/>
    <w:rsid w:val="00092E6B"/>
    <w:rsid w:val="000935AE"/>
    <w:rsid w:val="00094557"/>
    <w:rsid w:val="00095B40"/>
    <w:rsid w:val="00095E48"/>
    <w:rsid w:val="00096A8F"/>
    <w:rsid w:val="00097AB9"/>
    <w:rsid w:val="000A5BA7"/>
    <w:rsid w:val="000A7744"/>
    <w:rsid w:val="000B07EF"/>
    <w:rsid w:val="000B17CB"/>
    <w:rsid w:val="000B2113"/>
    <w:rsid w:val="000B3C99"/>
    <w:rsid w:val="000C085A"/>
    <w:rsid w:val="000C0ECE"/>
    <w:rsid w:val="000C56B0"/>
    <w:rsid w:val="000C59C2"/>
    <w:rsid w:val="000C795B"/>
    <w:rsid w:val="000C7C71"/>
    <w:rsid w:val="000D4B0B"/>
    <w:rsid w:val="000D68E9"/>
    <w:rsid w:val="000E259C"/>
    <w:rsid w:val="000E2CF1"/>
    <w:rsid w:val="000E33B4"/>
    <w:rsid w:val="000E5CD6"/>
    <w:rsid w:val="000E64AD"/>
    <w:rsid w:val="000E6B78"/>
    <w:rsid w:val="000F0C0D"/>
    <w:rsid w:val="000F364F"/>
    <w:rsid w:val="000F3B4F"/>
    <w:rsid w:val="000F694A"/>
    <w:rsid w:val="000F7A97"/>
    <w:rsid w:val="000F7AE3"/>
    <w:rsid w:val="0010051B"/>
    <w:rsid w:val="00101B43"/>
    <w:rsid w:val="001066FF"/>
    <w:rsid w:val="00107152"/>
    <w:rsid w:val="0011154D"/>
    <w:rsid w:val="00111B1E"/>
    <w:rsid w:val="00112F3E"/>
    <w:rsid w:val="00113A51"/>
    <w:rsid w:val="00114E35"/>
    <w:rsid w:val="001155A3"/>
    <w:rsid w:val="00115E6D"/>
    <w:rsid w:val="00116175"/>
    <w:rsid w:val="00117157"/>
    <w:rsid w:val="001176FB"/>
    <w:rsid w:val="00117EAC"/>
    <w:rsid w:val="00122326"/>
    <w:rsid w:val="00122572"/>
    <w:rsid w:val="00126E06"/>
    <w:rsid w:val="0012714E"/>
    <w:rsid w:val="00127931"/>
    <w:rsid w:val="00130DCD"/>
    <w:rsid w:val="001316B5"/>
    <w:rsid w:val="00134E29"/>
    <w:rsid w:val="00136832"/>
    <w:rsid w:val="00137224"/>
    <w:rsid w:val="00137874"/>
    <w:rsid w:val="00141589"/>
    <w:rsid w:val="00143394"/>
    <w:rsid w:val="0014508D"/>
    <w:rsid w:val="00146487"/>
    <w:rsid w:val="00147590"/>
    <w:rsid w:val="00156E78"/>
    <w:rsid w:val="00164C98"/>
    <w:rsid w:val="00166756"/>
    <w:rsid w:val="001677C4"/>
    <w:rsid w:val="00170A5C"/>
    <w:rsid w:val="00170EE3"/>
    <w:rsid w:val="00171973"/>
    <w:rsid w:val="0017795A"/>
    <w:rsid w:val="001851B2"/>
    <w:rsid w:val="00185836"/>
    <w:rsid w:val="00187FE6"/>
    <w:rsid w:val="00195EAC"/>
    <w:rsid w:val="001A21E3"/>
    <w:rsid w:val="001A36A9"/>
    <w:rsid w:val="001A3B41"/>
    <w:rsid w:val="001A42AE"/>
    <w:rsid w:val="001A44A9"/>
    <w:rsid w:val="001B49EB"/>
    <w:rsid w:val="001B4A87"/>
    <w:rsid w:val="001B538F"/>
    <w:rsid w:val="001B6E5C"/>
    <w:rsid w:val="001B72F3"/>
    <w:rsid w:val="001C1339"/>
    <w:rsid w:val="001C24F5"/>
    <w:rsid w:val="001C2AA2"/>
    <w:rsid w:val="001C34CF"/>
    <w:rsid w:val="001C4409"/>
    <w:rsid w:val="001D106C"/>
    <w:rsid w:val="001D1DD7"/>
    <w:rsid w:val="001D2865"/>
    <w:rsid w:val="001D34C2"/>
    <w:rsid w:val="001D5E48"/>
    <w:rsid w:val="001D5E54"/>
    <w:rsid w:val="001E0665"/>
    <w:rsid w:val="001E229D"/>
    <w:rsid w:val="001E28B4"/>
    <w:rsid w:val="001E387C"/>
    <w:rsid w:val="001E44A6"/>
    <w:rsid w:val="001E5343"/>
    <w:rsid w:val="001E5D94"/>
    <w:rsid w:val="001E736E"/>
    <w:rsid w:val="001F2129"/>
    <w:rsid w:val="001F37CF"/>
    <w:rsid w:val="001F4305"/>
    <w:rsid w:val="001F4965"/>
    <w:rsid w:val="001F4CF3"/>
    <w:rsid w:val="001F5D68"/>
    <w:rsid w:val="001F7411"/>
    <w:rsid w:val="00200539"/>
    <w:rsid w:val="002014C9"/>
    <w:rsid w:val="002019B6"/>
    <w:rsid w:val="00205C26"/>
    <w:rsid w:val="002105A2"/>
    <w:rsid w:val="00210CF7"/>
    <w:rsid w:val="00214E65"/>
    <w:rsid w:val="0021608F"/>
    <w:rsid w:val="00216FB2"/>
    <w:rsid w:val="0022123A"/>
    <w:rsid w:val="002213CA"/>
    <w:rsid w:val="002246C2"/>
    <w:rsid w:val="00225053"/>
    <w:rsid w:val="0022545F"/>
    <w:rsid w:val="00226035"/>
    <w:rsid w:val="00226389"/>
    <w:rsid w:val="002323E1"/>
    <w:rsid w:val="002327C9"/>
    <w:rsid w:val="00242ACC"/>
    <w:rsid w:val="00242DC0"/>
    <w:rsid w:val="00243520"/>
    <w:rsid w:val="00243AE0"/>
    <w:rsid w:val="00243B44"/>
    <w:rsid w:val="00244294"/>
    <w:rsid w:val="00244E48"/>
    <w:rsid w:val="0024646F"/>
    <w:rsid w:val="00246810"/>
    <w:rsid w:val="002507A9"/>
    <w:rsid w:val="00252CE4"/>
    <w:rsid w:val="00256D54"/>
    <w:rsid w:val="002579F2"/>
    <w:rsid w:val="00257A16"/>
    <w:rsid w:val="00261C4D"/>
    <w:rsid w:val="00263362"/>
    <w:rsid w:val="00266969"/>
    <w:rsid w:val="00266B18"/>
    <w:rsid w:val="00267161"/>
    <w:rsid w:val="0026723A"/>
    <w:rsid w:val="0027439C"/>
    <w:rsid w:val="002743F6"/>
    <w:rsid w:val="00276539"/>
    <w:rsid w:val="002768E5"/>
    <w:rsid w:val="00276FA5"/>
    <w:rsid w:val="00280055"/>
    <w:rsid w:val="00280190"/>
    <w:rsid w:val="002826EF"/>
    <w:rsid w:val="00283447"/>
    <w:rsid w:val="00283531"/>
    <w:rsid w:val="00290DA6"/>
    <w:rsid w:val="00292383"/>
    <w:rsid w:val="002932F5"/>
    <w:rsid w:val="0029459A"/>
    <w:rsid w:val="00296241"/>
    <w:rsid w:val="002967D8"/>
    <w:rsid w:val="002A0351"/>
    <w:rsid w:val="002A3CCA"/>
    <w:rsid w:val="002A4044"/>
    <w:rsid w:val="002A4C37"/>
    <w:rsid w:val="002A501B"/>
    <w:rsid w:val="002A512F"/>
    <w:rsid w:val="002A68EC"/>
    <w:rsid w:val="002B305F"/>
    <w:rsid w:val="002B4E1E"/>
    <w:rsid w:val="002B6B86"/>
    <w:rsid w:val="002C141B"/>
    <w:rsid w:val="002C4102"/>
    <w:rsid w:val="002C7394"/>
    <w:rsid w:val="002D0A5F"/>
    <w:rsid w:val="002D11BC"/>
    <w:rsid w:val="002D2091"/>
    <w:rsid w:val="002D2692"/>
    <w:rsid w:val="002D4DE7"/>
    <w:rsid w:val="002D4EEC"/>
    <w:rsid w:val="002D5FB7"/>
    <w:rsid w:val="002D7E02"/>
    <w:rsid w:val="002E0EAD"/>
    <w:rsid w:val="002E5B37"/>
    <w:rsid w:val="002E5BAD"/>
    <w:rsid w:val="002E5BDC"/>
    <w:rsid w:val="002E5CC0"/>
    <w:rsid w:val="002E7B09"/>
    <w:rsid w:val="002E7F87"/>
    <w:rsid w:val="002F0C47"/>
    <w:rsid w:val="002F201B"/>
    <w:rsid w:val="002F337F"/>
    <w:rsid w:val="002F3721"/>
    <w:rsid w:val="002F3931"/>
    <w:rsid w:val="002F57C8"/>
    <w:rsid w:val="003018CC"/>
    <w:rsid w:val="00304B84"/>
    <w:rsid w:val="0030556E"/>
    <w:rsid w:val="00305BB3"/>
    <w:rsid w:val="00307C0F"/>
    <w:rsid w:val="00311BBB"/>
    <w:rsid w:val="00312DBC"/>
    <w:rsid w:val="00312FAA"/>
    <w:rsid w:val="003140BB"/>
    <w:rsid w:val="003145CD"/>
    <w:rsid w:val="00315E34"/>
    <w:rsid w:val="003169C0"/>
    <w:rsid w:val="00320C71"/>
    <w:rsid w:val="003219DE"/>
    <w:rsid w:val="00321EA5"/>
    <w:rsid w:val="00323D1C"/>
    <w:rsid w:val="00324A21"/>
    <w:rsid w:val="00330FB8"/>
    <w:rsid w:val="00331E8B"/>
    <w:rsid w:val="003324EE"/>
    <w:rsid w:val="00334ED2"/>
    <w:rsid w:val="003369B3"/>
    <w:rsid w:val="003374A9"/>
    <w:rsid w:val="0033781B"/>
    <w:rsid w:val="003401A6"/>
    <w:rsid w:val="00341C1D"/>
    <w:rsid w:val="0034321A"/>
    <w:rsid w:val="0034384A"/>
    <w:rsid w:val="00343BC5"/>
    <w:rsid w:val="003500D2"/>
    <w:rsid w:val="00351842"/>
    <w:rsid w:val="00354FCB"/>
    <w:rsid w:val="00361083"/>
    <w:rsid w:val="003626EA"/>
    <w:rsid w:val="00364030"/>
    <w:rsid w:val="00365C35"/>
    <w:rsid w:val="00366AA1"/>
    <w:rsid w:val="00367B49"/>
    <w:rsid w:val="0037128C"/>
    <w:rsid w:val="00373C47"/>
    <w:rsid w:val="00374D3B"/>
    <w:rsid w:val="003766F1"/>
    <w:rsid w:val="00376EB8"/>
    <w:rsid w:val="0037763E"/>
    <w:rsid w:val="00380DEA"/>
    <w:rsid w:val="00381578"/>
    <w:rsid w:val="00381CEF"/>
    <w:rsid w:val="00384215"/>
    <w:rsid w:val="0038433B"/>
    <w:rsid w:val="00385EC9"/>
    <w:rsid w:val="003914F8"/>
    <w:rsid w:val="00392A97"/>
    <w:rsid w:val="00393572"/>
    <w:rsid w:val="003948FD"/>
    <w:rsid w:val="00396F26"/>
    <w:rsid w:val="00396F70"/>
    <w:rsid w:val="003A21F1"/>
    <w:rsid w:val="003A265C"/>
    <w:rsid w:val="003A5CB7"/>
    <w:rsid w:val="003A7E34"/>
    <w:rsid w:val="003B0F90"/>
    <w:rsid w:val="003B11FC"/>
    <w:rsid w:val="003B3E59"/>
    <w:rsid w:val="003B412C"/>
    <w:rsid w:val="003B59D4"/>
    <w:rsid w:val="003B6148"/>
    <w:rsid w:val="003C20AB"/>
    <w:rsid w:val="003D0372"/>
    <w:rsid w:val="003D14B3"/>
    <w:rsid w:val="003D368B"/>
    <w:rsid w:val="003D3706"/>
    <w:rsid w:val="003D47DF"/>
    <w:rsid w:val="003D4C1F"/>
    <w:rsid w:val="003E10D9"/>
    <w:rsid w:val="003E2115"/>
    <w:rsid w:val="003E2E26"/>
    <w:rsid w:val="003E5C7D"/>
    <w:rsid w:val="003F0FEE"/>
    <w:rsid w:val="003F293E"/>
    <w:rsid w:val="003F5E8B"/>
    <w:rsid w:val="0040280B"/>
    <w:rsid w:val="00403AEA"/>
    <w:rsid w:val="00404813"/>
    <w:rsid w:val="004048F8"/>
    <w:rsid w:val="00405888"/>
    <w:rsid w:val="004058C7"/>
    <w:rsid w:val="00406DF4"/>
    <w:rsid w:val="00411D48"/>
    <w:rsid w:val="004124C1"/>
    <w:rsid w:val="00412524"/>
    <w:rsid w:val="004125E0"/>
    <w:rsid w:val="004162DC"/>
    <w:rsid w:val="00417B8A"/>
    <w:rsid w:val="00417EA6"/>
    <w:rsid w:val="00421310"/>
    <w:rsid w:val="00421BD3"/>
    <w:rsid w:val="00425A61"/>
    <w:rsid w:val="00426DA9"/>
    <w:rsid w:val="00435B52"/>
    <w:rsid w:val="00437660"/>
    <w:rsid w:val="00441706"/>
    <w:rsid w:val="00442459"/>
    <w:rsid w:val="00442A00"/>
    <w:rsid w:val="00445C38"/>
    <w:rsid w:val="00446084"/>
    <w:rsid w:val="004508FF"/>
    <w:rsid w:val="00450F01"/>
    <w:rsid w:val="00452C9E"/>
    <w:rsid w:val="00452F2D"/>
    <w:rsid w:val="004532E1"/>
    <w:rsid w:val="00454007"/>
    <w:rsid w:val="00461BBA"/>
    <w:rsid w:val="00463E00"/>
    <w:rsid w:val="00464E42"/>
    <w:rsid w:val="00466A3B"/>
    <w:rsid w:val="00470370"/>
    <w:rsid w:val="004707E2"/>
    <w:rsid w:val="00480A9F"/>
    <w:rsid w:val="004813BD"/>
    <w:rsid w:val="004844D7"/>
    <w:rsid w:val="0048528D"/>
    <w:rsid w:val="00490E28"/>
    <w:rsid w:val="00491D06"/>
    <w:rsid w:val="00492933"/>
    <w:rsid w:val="00493030"/>
    <w:rsid w:val="00494407"/>
    <w:rsid w:val="00495AC5"/>
    <w:rsid w:val="00496EBF"/>
    <w:rsid w:val="004A0400"/>
    <w:rsid w:val="004A0DF4"/>
    <w:rsid w:val="004A2D76"/>
    <w:rsid w:val="004A3758"/>
    <w:rsid w:val="004A3956"/>
    <w:rsid w:val="004A4096"/>
    <w:rsid w:val="004A5DCC"/>
    <w:rsid w:val="004A745D"/>
    <w:rsid w:val="004B03B6"/>
    <w:rsid w:val="004B08B0"/>
    <w:rsid w:val="004B1F1A"/>
    <w:rsid w:val="004B232B"/>
    <w:rsid w:val="004B4741"/>
    <w:rsid w:val="004B546F"/>
    <w:rsid w:val="004B5857"/>
    <w:rsid w:val="004B651A"/>
    <w:rsid w:val="004C11C5"/>
    <w:rsid w:val="004C51A6"/>
    <w:rsid w:val="004C5AD5"/>
    <w:rsid w:val="004C7BAF"/>
    <w:rsid w:val="004D1A22"/>
    <w:rsid w:val="004D27E5"/>
    <w:rsid w:val="004D3EDE"/>
    <w:rsid w:val="004D492D"/>
    <w:rsid w:val="004D524F"/>
    <w:rsid w:val="004D5F2E"/>
    <w:rsid w:val="004D73F2"/>
    <w:rsid w:val="004E2ADA"/>
    <w:rsid w:val="004E2EFE"/>
    <w:rsid w:val="004E3291"/>
    <w:rsid w:val="004E33A6"/>
    <w:rsid w:val="004E375D"/>
    <w:rsid w:val="004E426F"/>
    <w:rsid w:val="004E66FB"/>
    <w:rsid w:val="004E6E39"/>
    <w:rsid w:val="004E774B"/>
    <w:rsid w:val="004E7CE5"/>
    <w:rsid w:val="004F44C4"/>
    <w:rsid w:val="004F585C"/>
    <w:rsid w:val="004F5A07"/>
    <w:rsid w:val="004F6AE6"/>
    <w:rsid w:val="004F6F41"/>
    <w:rsid w:val="004F6FFA"/>
    <w:rsid w:val="004F78AB"/>
    <w:rsid w:val="004F7956"/>
    <w:rsid w:val="004F7E37"/>
    <w:rsid w:val="005000FB"/>
    <w:rsid w:val="005012C5"/>
    <w:rsid w:val="00504A52"/>
    <w:rsid w:val="0050516D"/>
    <w:rsid w:val="0051122D"/>
    <w:rsid w:val="005127C0"/>
    <w:rsid w:val="00512E4A"/>
    <w:rsid w:val="00512ECE"/>
    <w:rsid w:val="00513C3A"/>
    <w:rsid w:val="005152E5"/>
    <w:rsid w:val="005167FE"/>
    <w:rsid w:val="00517660"/>
    <w:rsid w:val="005177C0"/>
    <w:rsid w:val="00520659"/>
    <w:rsid w:val="0052089C"/>
    <w:rsid w:val="005217D0"/>
    <w:rsid w:val="0052384B"/>
    <w:rsid w:val="00524561"/>
    <w:rsid w:val="0052636E"/>
    <w:rsid w:val="00532870"/>
    <w:rsid w:val="00535ACE"/>
    <w:rsid w:val="00541DC4"/>
    <w:rsid w:val="00542643"/>
    <w:rsid w:val="00542D18"/>
    <w:rsid w:val="00543D0E"/>
    <w:rsid w:val="005456FC"/>
    <w:rsid w:val="00546B83"/>
    <w:rsid w:val="00546FCA"/>
    <w:rsid w:val="00547B81"/>
    <w:rsid w:val="0055022A"/>
    <w:rsid w:val="00550DAA"/>
    <w:rsid w:val="005517B1"/>
    <w:rsid w:val="00552D67"/>
    <w:rsid w:val="00554016"/>
    <w:rsid w:val="005549B3"/>
    <w:rsid w:val="00556F91"/>
    <w:rsid w:val="00560B8D"/>
    <w:rsid w:val="0056161D"/>
    <w:rsid w:val="0056281C"/>
    <w:rsid w:val="0056351E"/>
    <w:rsid w:val="00563924"/>
    <w:rsid w:val="0056791E"/>
    <w:rsid w:val="0057010C"/>
    <w:rsid w:val="00570ACA"/>
    <w:rsid w:val="00571664"/>
    <w:rsid w:val="00574497"/>
    <w:rsid w:val="00574E10"/>
    <w:rsid w:val="00574E8C"/>
    <w:rsid w:val="00575EDC"/>
    <w:rsid w:val="00584393"/>
    <w:rsid w:val="00585826"/>
    <w:rsid w:val="00587782"/>
    <w:rsid w:val="00587DE4"/>
    <w:rsid w:val="00590B39"/>
    <w:rsid w:val="00590E74"/>
    <w:rsid w:val="0059201F"/>
    <w:rsid w:val="00593039"/>
    <w:rsid w:val="00593BE7"/>
    <w:rsid w:val="00593C77"/>
    <w:rsid w:val="00594D64"/>
    <w:rsid w:val="005958D2"/>
    <w:rsid w:val="005960AA"/>
    <w:rsid w:val="0059779E"/>
    <w:rsid w:val="005A0202"/>
    <w:rsid w:val="005A0A1B"/>
    <w:rsid w:val="005A1320"/>
    <w:rsid w:val="005A1E22"/>
    <w:rsid w:val="005A25E1"/>
    <w:rsid w:val="005A2B6E"/>
    <w:rsid w:val="005A3FE5"/>
    <w:rsid w:val="005A43AC"/>
    <w:rsid w:val="005A6FE6"/>
    <w:rsid w:val="005A719C"/>
    <w:rsid w:val="005B1438"/>
    <w:rsid w:val="005B3978"/>
    <w:rsid w:val="005B67B0"/>
    <w:rsid w:val="005B6CB3"/>
    <w:rsid w:val="005C0BB1"/>
    <w:rsid w:val="005C2BCF"/>
    <w:rsid w:val="005C37A7"/>
    <w:rsid w:val="005C3E96"/>
    <w:rsid w:val="005C5254"/>
    <w:rsid w:val="005C5B87"/>
    <w:rsid w:val="005C5E32"/>
    <w:rsid w:val="005D029A"/>
    <w:rsid w:val="005D190B"/>
    <w:rsid w:val="005D7173"/>
    <w:rsid w:val="005D7FAD"/>
    <w:rsid w:val="005E049D"/>
    <w:rsid w:val="005E1E2C"/>
    <w:rsid w:val="005F001E"/>
    <w:rsid w:val="005F045B"/>
    <w:rsid w:val="005F460B"/>
    <w:rsid w:val="005F5186"/>
    <w:rsid w:val="005F700A"/>
    <w:rsid w:val="0060121A"/>
    <w:rsid w:val="00602F56"/>
    <w:rsid w:val="00603AD1"/>
    <w:rsid w:val="00603B96"/>
    <w:rsid w:val="006105CA"/>
    <w:rsid w:val="0061151B"/>
    <w:rsid w:val="00614A58"/>
    <w:rsid w:val="00614EB1"/>
    <w:rsid w:val="00615A2C"/>
    <w:rsid w:val="00617C21"/>
    <w:rsid w:val="00617D19"/>
    <w:rsid w:val="00620011"/>
    <w:rsid w:val="0062147B"/>
    <w:rsid w:val="00621830"/>
    <w:rsid w:val="00624639"/>
    <w:rsid w:val="0062573C"/>
    <w:rsid w:val="0062650C"/>
    <w:rsid w:val="00626C8D"/>
    <w:rsid w:val="00627191"/>
    <w:rsid w:val="006278F7"/>
    <w:rsid w:val="0063298D"/>
    <w:rsid w:val="00633C7F"/>
    <w:rsid w:val="00633CB3"/>
    <w:rsid w:val="00635860"/>
    <w:rsid w:val="00636AA1"/>
    <w:rsid w:val="00636D5E"/>
    <w:rsid w:val="00637BFC"/>
    <w:rsid w:val="00641B9C"/>
    <w:rsid w:val="00647640"/>
    <w:rsid w:val="00650FA7"/>
    <w:rsid w:val="006517BB"/>
    <w:rsid w:val="00651E95"/>
    <w:rsid w:val="006524F7"/>
    <w:rsid w:val="0065416F"/>
    <w:rsid w:val="006545D5"/>
    <w:rsid w:val="006559E4"/>
    <w:rsid w:val="0065611C"/>
    <w:rsid w:val="00657401"/>
    <w:rsid w:val="006578BA"/>
    <w:rsid w:val="00663F1F"/>
    <w:rsid w:val="00665C56"/>
    <w:rsid w:val="00666B0C"/>
    <w:rsid w:val="006717EC"/>
    <w:rsid w:val="00671ED5"/>
    <w:rsid w:val="00672D93"/>
    <w:rsid w:val="00673574"/>
    <w:rsid w:val="006737D3"/>
    <w:rsid w:val="006749FE"/>
    <w:rsid w:val="006769A6"/>
    <w:rsid w:val="00677CB7"/>
    <w:rsid w:val="006803AF"/>
    <w:rsid w:val="006803EF"/>
    <w:rsid w:val="006809A8"/>
    <w:rsid w:val="00684F12"/>
    <w:rsid w:val="0069113D"/>
    <w:rsid w:val="00691A00"/>
    <w:rsid w:val="006922D9"/>
    <w:rsid w:val="006928A4"/>
    <w:rsid w:val="00694682"/>
    <w:rsid w:val="006948AC"/>
    <w:rsid w:val="00694C2A"/>
    <w:rsid w:val="006A0F1B"/>
    <w:rsid w:val="006A14E0"/>
    <w:rsid w:val="006A5304"/>
    <w:rsid w:val="006A7B13"/>
    <w:rsid w:val="006B100C"/>
    <w:rsid w:val="006B4294"/>
    <w:rsid w:val="006B61A3"/>
    <w:rsid w:val="006B6235"/>
    <w:rsid w:val="006B68F6"/>
    <w:rsid w:val="006B767B"/>
    <w:rsid w:val="006B77C3"/>
    <w:rsid w:val="006C13C3"/>
    <w:rsid w:val="006C1E08"/>
    <w:rsid w:val="006C2206"/>
    <w:rsid w:val="006C28EA"/>
    <w:rsid w:val="006C4985"/>
    <w:rsid w:val="006C4CB4"/>
    <w:rsid w:val="006C56E0"/>
    <w:rsid w:val="006C5A63"/>
    <w:rsid w:val="006C67EE"/>
    <w:rsid w:val="006D33A4"/>
    <w:rsid w:val="006D38B3"/>
    <w:rsid w:val="006E6E9B"/>
    <w:rsid w:val="006E7292"/>
    <w:rsid w:val="006E7899"/>
    <w:rsid w:val="006E7A8A"/>
    <w:rsid w:val="006F0B08"/>
    <w:rsid w:val="006F1691"/>
    <w:rsid w:val="006F1699"/>
    <w:rsid w:val="006F294F"/>
    <w:rsid w:val="006F2BF4"/>
    <w:rsid w:val="006F33D9"/>
    <w:rsid w:val="006F377B"/>
    <w:rsid w:val="006F3E5E"/>
    <w:rsid w:val="006F52CD"/>
    <w:rsid w:val="006F58DB"/>
    <w:rsid w:val="006F7148"/>
    <w:rsid w:val="006F76AF"/>
    <w:rsid w:val="007008B5"/>
    <w:rsid w:val="00702387"/>
    <w:rsid w:val="0070421A"/>
    <w:rsid w:val="00710322"/>
    <w:rsid w:val="00710D33"/>
    <w:rsid w:val="00711F4E"/>
    <w:rsid w:val="00712E5F"/>
    <w:rsid w:val="00715E82"/>
    <w:rsid w:val="00716329"/>
    <w:rsid w:val="00717FD0"/>
    <w:rsid w:val="00722BFE"/>
    <w:rsid w:val="00723963"/>
    <w:rsid w:val="00724658"/>
    <w:rsid w:val="007257C0"/>
    <w:rsid w:val="0073002E"/>
    <w:rsid w:val="0073288C"/>
    <w:rsid w:val="00732A5B"/>
    <w:rsid w:val="00732F42"/>
    <w:rsid w:val="007413BB"/>
    <w:rsid w:val="0074161A"/>
    <w:rsid w:val="00741C18"/>
    <w:rsid w:val="007421FF"/>
    <w:rsid w:val="00745D53"/>
    <w:rsid w:val="007463F7"/>
    <w:rsid w:val="00746535"/>
    <w:rsid w:val="00747F38"/>
    <w:rsid w:val="007504BE"/>
    <w:rsid w:val="00750852"/>
    <w:rsid w:val="00750AEE"/>
    <w:rsid w:val="00750ECA"/>
    <w:rsid w:val="007515F2"/>
    <w:rsid w:val="00752958"/>
    <w:rsid w:val="00755BAA"/>
    <w:rsid w:val="00756D13"/>
    <w:rsid w:val="00757867"/>
    <w:rsid w:val="00760A45"/>
    <w:rsid w:val="00760C92"/>
    <w:rsid w:val="0076385F"/>
    <w:rsid w:val="00763F18"/>
    <w:rsid w:val="00765268"/>
    <w:rsid w:val="00765856"/>
    <w:rsid w:val="00766995"/>
    <w:rsid w:val="0077034D"/>
    <w:rsid w:val="0077163A"/>
    <w:rsid w:val="00771DF3"/>
    <w:rsid w:val="00774756"/>
    <w:rsid w:val="00775422"/>
    <w:rsid w:val="00776879"/>
    <w:rsid w:val="007771BA"/>
    <w:rsid w:val="0078200C"/>
    <w:rsid w:val="00782E7E"/>
    <w:rsid w:val="007831EC"/>
    <w:rsid w:val="00785EAA"/>
    <w:rsid w:val="00787A19"/>
    <w:rsid w:val="00787B24"/>
    <w:rsid w:val="007922A3"/>
    <w:rsid w:val="00792A29"/>
    <w:rsid w:val="00792BFA"/>
    <w:rsid w:val="0079310C"/>
    <w:rsid w:val="0079332D"/>
    <w:rsid w:val="00794158"/>
    <w:rsid w:val="00795D1B"/>
    <w:rsid w:val="00797EF7"/>
    <w:rsid w:val="007A3704"/>
    <w:rsid w:val="007A489C"/>
    <w:rsid w:val="007A543B"/>
    <w:rsid w:val="007A6795"/>
    <w:rsid w:val="007A6983"/>
    <w:rsid w:val="007B4EE5"/>
    <w:rsid w:val="007B54FB"/>
    <w:rsid w:val="007B5BB6"/>
    <w:rsid w:val="007B69DD"/>
    <w:rsid w:val="007B6F64"/>
    <w:rsid w:val="007C0EFD"/>
    <w:rsid w:val="007C162A"/>
    <w:rsid w:val="007C2D47"/>
    <w:rsid w:val="007C2FE6"/>
    <w:rsid w:val="007C6392"/>
    <w:rsid w:val="007C63E6"/>
    <w:rsid w:val="007D20B7"/>
    <w:rsid w:val="007D66A6"/>
    <w:rsid w:val="007D7757"/>
    <w:rsid w:val="007E5A9C"/>
    <w:rsid w:val="007F0D8F"/>
    <w:rsid w:val="007F13D6"/>
    <w:rsid w:val="007F23C5"/>
    <w:rsid w:val="00801A5A"/>
    <w:rsid w:val="0080233A"/>
    <w:rsid w:val="0080275A"/>
    <w:rsid w:val="00802D71"/>
    <w:rsid w:val="0080397C"/>
    <w:rsid w:val="008056B3"/>
    <w:rsid w:val="00806020"/>
    <w:rsid w:val="00810CD6"/>
    <w:rsid w:val="00813F57"/>
    <w:rsid w:val="0081484A"/>
    <w:rsid w:val="00815534"/>
    <w:rsid w:val="0081633B"/>
    <w:rsid w:val="0081721B"/>
    <w:rsid w:val="00822948"/>
    <w:rsid w:val="008250E1"/>
    <w:rsid w:val="0082663C"/>
    <w:rsid w:val="0082682E"/>
    <w:rsid w:val="008279E3"/>
    <w:rsid w:val="00827F2C"/>
    <w:rsid w:val="00830B51"/>
    <w:rsid w:val="00833478"/>
    <w:rsid w:val="00834355"/>
    <w:rsid w:val="00834B64"/>
    <w:rsid w:val="00834D6A"/>
    <w:rsid w:val="00835DEC"/>
    <w:rsid w:val="00840E01"/>
    <w:rsid w:val="008420F9"/>
    <w:rsid w:val="008421FA"/>
    <w:rsid w:val="00842E0C"/>
    <w:rsid w:val="00843A04"/>
    <w:rsid w:val="00844E87"/>
    <w:rsid w:val="008458BC"/>
    <w:rsid w:val="00846E6F"/>
    <w:rsid w:val="008524D2"/>
    <w:rsid w:val="00852D93"/>
    <w:rsid w:val="008535C3"/>
    <w:rsid w:val="008547AD"/>
    <w:rsid w:val="00854A32"/>
    <w:rsid w:val="00855754"/>
    <w:rsid w:val="00857273"/>
    <w:rsid w:val="008601E3"/>
    <w:rsid w:val="00860ADF"/>
    <w:rsid w:val="00863484"/>
    <w:rsid w:val="00863DED"/>
    <w:rsid w:val="008651C5"/>
    <w:rsid w:val="0086687F"/>
    <w:rsid w:val="00870705"/>
    <w:rsid w:val="00871DE5"/>
    <w:rsid w:val="00872EA2"/>
    <w:rsid w:val="00873D71"/>
    <w:rsid w:val="00873EF1"/>
    <w:rsid w:val="008776C3"/>
    <w:rsid w:val="008818BA"/>
    <w:rsid w:val="00883A92"/>
    <w:rsid w:val="00886543"/>
    <w:rsid w:val="00886709"/>
    <w:rsid w:val="00886BF0"/>
    <w:rsid w:val="00886CDE"/>
    <w:rsid w:val="0089025A"/>
    <w:rsid w:val="00890550"/>
    <w:rsid w:val="00890562"/>
    <w:rsid w:val="00890F26"/>
    <w:rsid w:val="00892557"/>
    <w:rsid w:val="00893E89"/>
    <w:rsid w:val="00894CC5"/>
    <w:rsid w:val="008968FE"/>
    <w:rsid w:val="00896C49"/>
    <w:rsid w:val="008A0EC9"/>
    <w:rsid w:val="008A3697"/>
    <w:rsid w:val="008A3707"/>
    <w:rsid w:val="008A3906"/>
    <w:rsid w:val="008A3CFE"/>
    <w:rsid w:val="008A6BBD"/>
    <w:rsid w:val="008B0644"/>
    <w:rsid w:val="008B2CA1"/>
    <w:rsid w:val="008B4A4F"/>
    <w:rsid w:val="008B5659"/>
    <w:rsid w:val="008B5EF2"/>
    <w:rsid w:val="008B68C3"/>
    <w:rsid w:val="008C1A8A"/>
    <w:rsid w:val="008C2157"/>
    <w:rsid w:val="008C3649"/>
    <w:rsid w:val="008C6986"/>
    <w:rsid w:val="008D0DBC"/>
    <w:rsid w:val="008D2553"/>
    <w:rsid w:val="008D44EA"/>
    <w:rsid w:val="008D45BF"/>
    <w:rsid w:val="008D4600"/>
    <w:rsid w:val="008D6263"/>
    <w:rsid w:val="008D6FDF"/>
    <w:rsid w:val="008D7EEF"/>
    <w:rsid w:val="008E01CB"/>
    <w:rsid w:val="008E092D"/>
    <w:rsid w:val="008E0B53"/>
    <w:rsid w:val="008E0D2A"/>
    <w:rsid w:val="008E13F4"/>
    <w:rsid w:val="008E16A5"/>
    <w:rsid w:val="008E22BE"/>
    <w:rsid w:val="008E313A"/>
    <w:rsid w:val="008E43B3"/>
    <w:rsid w:val="008E7E9F"/>
    <w:rsid w:val="008F00EC"/>
    <w:rsid w:val="008F28C5"/>
    <w:rsid w:val="008F31FB"/>
    <w:rsid w:val="008F32A1"/>
    <w:rsid w:val="008F506A"/>
    <w:rsid w:val="008F56A9"/>
    <w:rsid w:val="008F675B"/>
    <w:rsid w:val="00901788"/>
    <w:rsid w:val="0090711B"/>
    <w:rsid w:val="00907367"/>
    <w:rsid w:val="00910FA1"/>
    <w:rsid w:val="00911B67"/>
    <w:rsid w:val="00912311"/>
    <w:rsid w:val="00912921"/>
    <w:rsid w:val="009131B2"/>
    <w:rsid w:val="00914885"/>
    <w:rsid w:val="00914E8C"/>
    <w:rsid w:val="00915AAA"/>
    <w:rsid w:val="00916AD1"/>
    <w:rsid w:val="00917809"/>
    <w:rsid w:val="00921737"/>
    <w:rsid w:val="0092245D"/>
    <w:rsid w:val="00924432"/>
    <w:rsid w:val="0092591F"/>
    <w:rsid w:val="0092692D"/>
    <w:rsid w:val="009276D1"/>
    <w:rsid w:val="009277D7"/>
    <w:rsid w:val="00927D48"/>
    <w:rsid w:val="00927F4F"/>
    <w:rsid w:val="00931732"/>
    <w:rsid w:val="00933F1A"/>
    <w:rsid w:val="00936120"/>
    <w:rsid w:val="009365EA"/>
    <w:rsid w:val="00941BF4"/>
    <w:rsid w:val="00942033"/>
    <w:rsid w:val="00943C10"/>
    <w:rsid w:val="009446B7"/>
    <w:rsid w:val="00944A31"/>
    <w:rsid w:val="009463F6"/>
    <w:rsid w:val="0094767B"/>
    <w:rsid w:val="00947B93"/>
    <w:rsid w:val="009500CE"/>
    <w:rsid w:val="00952EDE"/>
    <w:rsid w:val="0095335F"/>
    <w:rsid w:val="00954F83"/>
    <w:rsid w:val="00956FA7"/>
    <w:rsid w:val="00957DD6"/>
    <w:rsid w:val="00963BE9"/>
    <w:rsid w:val="00966612"/>
    <w:rsid w:val="00966DFB"/>
    <w:rsid w:val="00972961"/>
    <w:rsid w:val="009742BE"/>
    <w:rsid w:val="00975E6C"/>
    <w:rsid w:val="009802F8"/>
    <w:rsid w:val="00980659"/>
    <w:rsid w:val="00980FC1"/>
    <w:rsid w:val="00983C55"/>
    <w:rsid w:val="00984567"/>
    <w:rsid w:val="00990F1A"/>
    <w:rsid w:val="00991598"/>
    <w:rsid w:val="00992F29"/>
    <w:rsid w:val="00995643"/>
    <w:rsid w:val="00996D31"/>
    <w:rsid w:val="009972EA"/>
    <w:rsid w:val="009A090D"/>
    <w:rsid w:val="009A230B"/>
    <w:rsid w:val="009A2544"/>
    <w:rsid w:val="009A258C"/>
    <w:rsid w:val="009A2CD9"/>
    <w:rsid w:val="009A492E"/>
    <w:rsid w:val="009B3A51"/>
    <w:rsid w:val="009B5477"/>
    <w:rsid w:val="009B5FA0"/>
    <w:rsid w:val="009C6A2F"/>
    <w:rsid w:val="009C7B25"/>
    <w:rsid w:val="009D2C85"/>
    <w:rsid w:val="009D3A94"/>
    <w:rsid w:val="009D423A"/>
    <w:rsid w:val="009D55B6"/>
    <w:rsid w:val="009D5742"/>
    <w:rsid w:val="009D7E88"/>
    <w:rsid w:val="009E344A"/>
    <w:rsid w:val="009E46F7"/>
    <w:rsid w:val="009F005A"/>
    <w:rsid w:val="009F01BC"/>
    <w:rsid w:val="009F206E"/>
    <w:rsid w:val="009F2D2A"/>
    <w:rsid w:val="009F2F27"/>
    <w:rsid w:val="009F7276"/>
    <w:rsid w:val="009F7C9B"/>
    <w:rsid w:val="00A00902"/>
    <w:rsid w:val="00A02A8A"/>
    <w:rsid w:val="00A02E26"/>
    <w:rsid w:val="00A05695"/>
    <w:rsid w:val="00A07175"/>
    <w:rsid w:val="00A071B7"/>
    <w:rsid w:val="00A0726D"/>
    <w:rsid w:val="00A11DC7"/>
    <w:rsid w:val="00A139D6"/>
    <w:rsid w:val="00A149B7"/>
    <w:rsid w:val="00A16EA5"/>
    <w:rsid w:val="00A20B93"/>
    <w:rsid w:val="00A255E1"/>
    <w:rsid w:val="00A26368"/>
    <w:rsid w:val="00A26A8C"/>
    <w:rsid w:val="00A31FCE"/>
    <w:rsid w:val="00A339A7"/>
    <w:rsid w:val="00A35135"/>
    <w:rsid w:val="00A3589E"/>
    <w:rsid w:val="00A37390"/>
    <w:rsid w:val="00A379A9"/>
    <w:rsid w:val="00A40A5F"/>
    <w:rsid w:val="00A410FF"/>
    <w:rsid w:val="00A4268B"/>
    <w:rsid w:val="00A42A91"/>
    <w:rsid w:val="00A439FB"/>
    <w:rsid w:val="00A446D4"/>
    <w:rsid w:val="00A477E2"/>
    <w:rsid w:val="00A50394"/>
    <w:rsid w:val="00A5061D"/>
    <w:rsid w:val="00A5129D"/>
    <w:rsid w:val="00A53553"/>
    <w:rsid w:val="00A540E8"/>
    <w:rsid w:val="00A5464D"/>
    <w:rsid w:val="00A54D57"/>
    <w:rsid w:val="00A557CE"/>
    <w:rsid w:val="00A57822"/>
    <w:rsid w:val="00A60B61"/>
    <w:rsid w:val="00A61DD9"/>
    <w:rsid w:val="00A65052"/>
    <w:rsid w:val="00A653CA"/>
    <w:rsid w:val="00A65B4C"/>
    <w:rsid w:val="00A67580"/>
    <w:rsid w:val="00A67ED6"/>
    <w:rsid w:val="00A71250"/>
    <w:rsid w:val="00A71ECF"/>
    <w:rsid w:val="00A740A1"/>
    <w:rsid w:val="00A74C8A"/>
    <w:rsid w:val="00A752A8"/>
    <w:rsid w:val="00A75A55"/>
    <w:rsid w:val="00A76DA1"/>
    <w:rsid w:val="00A80E90"/>
    <w:rsid w:val="00A8105A"/>
    <w:rsid w:val="00A867E5"/>
    <w:rsid w:val="00A86E6B"/>
    <w:rsid w:val="00A91309"/>
    <w:rsid w:val="00AA104D"/>
    <w:rsid w:val="00AA48D2"/>
    <w:rsid w:val="00AA6B95"/>
    <w:rsid w:val="00AB08A6"/>
    <w:rsid w:val="00AB2473"/>
    <w:rsid w:val="00AB2FE0"/>
    <w:rsid w:val="00AC636B"/>
    <w:rsid w:val="00AC6B1A"/>
    <w:rsid w:val="00AC7698"/>
    <w:rsid w:val="00AD2788"/>
    <w:rsid w:val="00AD3AA6"/>
    <w:rsid w:val="00AD3F9A"/>
    <w:rsid w:val="00AD5C3E"/>
    <w:rsid w:val="00AD5D91"/>
    <w:rsid w:val="00AD7F62"/>
    <w:rsid w:val="00AE01FC"/>
    <w:rsid w:val="00AE16F7"/>
    <w:rsid w:val="00AE2160"/>
    <w:rsid w:val="00AE220C"/>
    <w:rsid w:val="00AE4980"/>
    <w:rsid w:val="00AE56B0"/>
    <w:rsid w:val="00AE5CED"/>
    <w:rsid w:val="00AE76B4"/>
    <w:rsid w:val="00AF0E0E"/>
    <w:rsid w:val="00AF2B78"/>
    <w:rsid w:val="00B027CE"/>
    <w:rsid w:val="00B05C7A"/>
    <w:rsid w:val="00B05D43"/>
    <w:rsid w:val="00B07625"/>
    <w:rsid w:val="00B07BD5"/>
    <w:rsid w:val="00B10190"/>
    <w:rsid w:val="00B1054D"/>
    <w:rsid w:val="00B11F97"/>
    <w:rsid w:val="00B12691"/>
    <w:rsid w:val="00B150AB"/>
    <w:rsid w:val="00B16C7E"/>
    <w:rsid w:val="00B1705E"/>
    <w:rsid w:val="00B1722D"/>
    <w:rsid w:val="00B215FC"/>
    <w:rsid w:val="00B22A43"/>
    <w:rsid w:val="00B22C0E"/>
    <w:rsid w:val="00B23DD8"/>
    <w:rsid w:val="00B26E52"/>
    <w:rsid w:val="00B271EC"/>
    <w:rsid w:val="00B3069B"/>
    <w:rsid w:val="00B30757"/>
    <w:rsid w:val="00B31CCA"/>
    <w:rsid w:val="00B344F5"/>
    <w:rsid w:val="00B40B6F"/>
    <w:rsid w:val="00B41706"/>
    <w:rsid w:val="00B4375E"/>
    <w:rsid w:val="00B43940"/>
    <w:rsid w:val="00B44877"/>
    <w:rsid w:val="00B45BB2"/>
    <w:rsid w:val="00B45C9E"/>
    <w:rsid w:val="00B475D3"/>
    <w:rsid w:val="00B476F5"/>
    <w:rsid w:val="00B50312"/>
    <w:rsid w:val="00B506D1"/>
    <w:rsid w:val="00B5138B"/>
    <w:rsid w:val="00B51450"/>
    <w:rsid w:val="00B51D1A"/>
    <w:rsid w:val="00B51E92"/>
    <w:rsid w:val="00B51F8E"/>
    <w:rsid w:val="00B5253B"/>
    <w:rsid w:val="00B52A43"/>
    <w:rsid w:val="00B54277"/>
    <w:rsid w:val="00B55A78"/>
    <w:rsid w:val="00B568E8"/>
    <w:rsid w:val="00B56B14"/>
    <w:rsid w:val="00B57F6B"/>
    <w:rsid w:val="00B60C0F"/>
    <w:rsid w:val="00B61D31"/>
    <w:rsid w:val="00B62586"/>
    <w:rsid w:val="00B626B9"/>
    <w:rsid w:val="00B62A32"/>
    <w:rsid w:val="00B648F9"/>
    <w:rsid w:val="00B65A52"/>
    <w:rsid w:val="00B67409"/>
    <w:rsid w:val="00B709A2"/>
    <w:rsid w:val="00B71F11"/>
    <w:rsid w:val="00B7222D"/>
    <w:rsid w:val="00B7478D"/>
    <w:rsid w:val="00B770C6"/>
    <w:rsid w:val="00B802ED"/>
    <w:rsid w:val="00B846BF"/>
    <w:rsid w:val="00B84C1D"/>
    <w:rsid w:val="00B86942"/>
    <w:rsid w:val="00B9304E"/>
    <w:rsid w:val="00B96BC7"/>
    <w:rsid w:val="00B96FA8"/>
    <w:rsid w:val="00BA03E5"/>
    <w:rsid w:val="00BA110D"/>
    <w:rsid w:val="00BA1B1B"/>
    <w:rsid w:val="00BA519F"/>
    <w:rsid w:val="00BB0CD5"/>
    <w:rsid w:val="00BB1F03"/>
    <w:rsid w:val="00BB59B1"/>
    <w:rsid w:val="00BC0502"/>
    <w:rsid w:val="00BC05D0"/>
    <w:rsid w:val="00BC2C87"/>
    <w:rsid w:val="00BC4849"/>
    <w:rsid w:val="00BC4E1B"/>
    <w:rsid w:val="00BC6E17"/>
    <w:rsid w:val="00BC7613"/>
    <w:rsid w:val="00BD0691"/>
    <w:rsid w:val="00BD0A9D"/>
    <w:rsid w:val="00BD255D"/>
    <w:rsid w:val="00BD4ACA"/>
    <w:rsid w:val="00BD4C7D"/>
    <w:rsid w:val="00BD52C5"/>
    <w:rsid w:val="00BD6A0D"/>
    <w:rsid w:val="00BD6CCC"/>
    <w:rsid w:val="00BE1CD6"/>
    <w:rsid w:val="00BE2B82"/>
    <w:rsid w:val="00BE3447"/>
    <w:rsid w:val="00BE3AE7"/>
    <w:rsid w:val="00BE4710"/>
    <w:rsid w:val="00BE4A38"/>
    <w:rsid w:val="00BE543E"/>
    <w:rsid w:val="00BE7E11"/>
    <w:rsid w:val="00BF051C"/>
    <w:rsid w:val="00BF0AAF"/>
    <w:rsid w:val="00BF5FD5"/>
    <w:rsid w:val="00BF6439"/>
    <w:rsid w:val="00C02427"/>
    <w:rsid w:val="00C050A3"/>
    <w:rsid w:val="00C05E0F"/>
    <w:rsid w:val="00C07CA1"/>
    <w:rsid w:val="00C11581"/>
    <w:rsid w:val="00C11983"/>
    <w:rsid w:val="00C13695"/>
    <w:rsid w:val="00C154F0"/>
    <w:rsid w:val="00C162AA"/>
    <w:rsid w:val="00C20F93"/>
    <w:rsid w:val="00C21A11"/>
    <w:rsid w:val="00C235CF"/>
    <w:rsid w:val="00C24216"/>
    <w:rsid w:val="00C263F3"/>
    <w:rsid w:val="00C266E8"/>
    <w:rsid w:val="00C3051B"/>
    <w:rsid w:val="00C307E1"/>
    <w:rsid w:val="00C31DFA"/>
    <w:rsid w:val="00C3343C"/>
    <w:rsid w:val="00C33D37"/>
    <w:rsid w:val="00C3501F"/>
    <w:rsid w:val="00C3670E"/>
    <w:rsid w:val="00C375F1"/>
    <w:rsid w:val="00C404CB"/>
    <w:rsid w:val="00C42B8F"/>
    <w:rsid w:val="00C5156A"/>
    <w:rsid w:val="00C53335"/>
    <w:rsid w:val="00C555D1"/>
    <w:rsid w:val="00C61C8C"/>
    <w:rsid w:val="00C63591"/>
    <w:rsid w:val="00C653F0"/>
    <w:rsid w:val="00C66B39"/>
    <w:rsid w:val="00C676E6"/>
    <w:rsid w:val="00C714BF"/>
    <w:rsid w:val="00C71D5A"/>
    <w:rsid w:val="00C71F0D"/>
    <w:rsid w:val="00C72042"/>
    <w:rsid w:val="00C7230E"/>
    <w:rsid w:val="00C72EBF"/>
    <w:rsid w:val="00C72FFB"/>
    <w:rsid w:val="00C737A8"/>
    <w:rsid w:val="00C77098"/>
    <w:rsid w:val="00C866A4"/>
    <w:rsid w:val="00C90D59"/>
    <w:rsid w:val="00CA0B9F"/>
    <w:rsid w:val="00CA0D5C"/>
    <w:rsid w:val="00CA14A1"/>
    <w:rsid w:val="00CA270F"/>
    <w:rsid w:val="00CA3FB8"/>
    <w:rsid w:val="00CA4064"/>
    <w:rsid w:val="00CA5D66"/>
    <w:rsid w:val="00CA6203"/>
    <w:rsid w:val="00CA6430"/>
    <w:rsid w:val="00CA662B"/>
    <w:rsid w:val="00CB20F7"/>
    <w:rsid w:val="00CC0FD2"/>
    <w:rsid w:val="00CC381C"/>
    <w:rsid w:val="00CC7509"/>
    <w:rsid w:val="00CC7E48"/>
    <w:rsid w:val="00CD241D"/>
    <w:rsid w:val="00CD2723"/>
    <w:rsid w:val="00CD4BC6"/>
    <w:rsid w:val="00CD6F8D"/>
    <w:rsid w:val="00CD7154"/>
    <w:rsid w:val="00CD7416"/>
    <w:rsid w:val="00CE0627"/>
    <w:rsid w:val="00CE5066"/>
    <w:rsid w:val="00CE6434"/>
    <w:rsid w:val="00CE69B0"/>
    <w:rsid w:val="00CE7A91"/>
    <w:rsid w:val="00CF12E7"/>
    <w:rsid w:val="00CF19F7"/>
    <w:rsid w:val="00CF2590"/>
    <w:rsid w:val="00CF4923"/>
    <w:rsid w:val="00CF51A6"/>
    <w:rsid w:val="00CF77AE"/>
    <w:rsid w:val="00D00FBA"/>
    <w:rsid w:val="00D02FC6"/>
    <w:rsid w:val="00D03333"/>
    <w:rsid w:val="00D0370D"/>
    <w:rsid w:val="00D0439E"/>
    <w:rsid w:val="00D04751"/>
    <w:rsid w:val="00D0483E"/>
    <w:rsid w:val="00D07BC8"/>
    <w:rsid w:val="00D07BD1"/>
    <w:rsid w:val="00D07DAF"/>
    <w:rsid w:val="00D13EE7"/>
    <w:rsid w:val="00D13F10"/>
    <w:rsid w:val="00D16317"/>
    <w:rsid w:val="00D17D04"/>
    <w:rsid w:val="00D2077D"/>
    <w:rsid w:val="00D211A3"/>
    <w:rsid w:val="00D2497D"/>
    <w:rsid w:val="00D26246"/>
    <w:rsid w:val="00D2763B"/>
    <w:rsid w:val="00D27890"/>
    <w:rsid w:val="00D27D95"/>
    <w:rsid w:val="00D30B08"/>
    <w:rsid w:val="00D32F17"/>
    <w:rsid w:val="00D33C68"/>
    <w:rsid w:val="00D3670F"/>
    <w:rsid w:val="00D405AA"/>
    <w:rsid w:val="00D4181C"/>
    <w:rsid w:val="00D42A8A"/>
    <w:rsid w:val="00D444B4"/>
    <w:rsid w:val="00D4795A"/>
    <w:rsid w:val="00D51649"/>
    <w:rsid w:val="00D51C5B"/>
    <w:rsid w:val="00D53342"/>
    <w:rsid w:val="00D55AC3"/>
    <w:rsid w:val="00D55D03"/>
    <w:rsid w:val="00D65571"/>
    <w:rsid w:val="00D659DB"/>
    <w:rsid w:val="00D72AE7"/>
    <w:rsid w:val="00D73472"/>
    <w:rsid w:val="00D73DD5"/>
    <w:rsid w:val="00D75A39"/>
    <w:rsid w:val="00D76612"/>
    <w:rsid w:val="00D77C04"/>
    <w:rsid w:val="00D805CB"/>
    <w:rsid w:val="00D83B95"/>
    <w:rsid w:val="00D87599"/>
    <w:rsid w:val="00D90E99"/>
    <w:rsid w:val="00D926C6"/>
    <w:rsid w:val="00D9463E"/>
    <w:rsid w:val="00D94CC6"/>
    <w:rsid w:val="00D95C6A"/>
    <w:rsid w:val="00D9687C"/>
    <w:rsid w:val="00D970BF"/>
    <w:rsid w:val="00DA2340"/>
    <w:rsid w:val="00DA26DF"/>
    <w:rsid w:val="00DA368D"/>
    <w:rsid w:val="00DA5728"/>
    <w:rsid w:val="00DA5B03"/>
    <w:rsid w:val="00DA6520"/>
    <w:rsid w:val="00DB288F"/>
    <w:rsid w:val="00DB2AF9"/>
    <w:rsid w:val="00DB2EB5"/>
    <w:rsid w:val="00DB54CD"/>
    <w:rsid w:val="00DB56CB"/>
    <w:rsid w:val="00DC1238"/>
    <w:rsid w:val="00DC1465"/>
    <w:rsid w:val="00DC20FA"/>
    <w:rsid w:val="00DC3033"/>
    <w:rsid w:val="00DC560C"/>
    <w:rsid w:val="00DD0431"/>
    <w:rsid w:val="00DD2D53"/>
    <w:rsid w:val="00DD362B"/>
    <w:rsid w:val="00DE1750"/>
    <w:rsid w:val="00DE297E"/>
    <w:rsid w:val="00DE2F56"/>
    <w:rsid w:val="00DE54C0"/>
    <w:rsid w:val="00DE56DE"/>
    <w:rsid w:val="00DE6E7E"/>
    <w:rsid w:val="00DE6F62"/>
    <w:rsid w:val="00DF3254"/>
    <w:rsid w:val="00DF45A9"/>
    <w:rsid w:val="00DF56A2"/>
    <w:rsid w:val="00E00283"/>
    <w:rsid w:val="00E01633"/>
    <w:rsid w:val="00E02FF7"/>
    <w:rsid w:val="00E1117D"/>
    <w:rsid w:val="00E1442F"/>
    <w:rsid w:val="00E14BF9"/>
    <w:rsid w:val="00E20A48"/>
    <w:rsid w:val="00E2296B"/>
    <w:rsid w:val="00E2347A"/>
    <w:rsid w:val="00E26063"/>
    <w:rsid w:val="00E2682C"/>
    <w:rsid w:val="00E30A93"/>
    <w:rsid w:val="00E33671"/>
    <w:rsid w:val="00E3517C"/>
    <w:rsid w:val="00E368EE"/>
    <w:rsid w:val="00E37B0D"/>
    <w:rsid w:val="00E40658"/>
    <w:rsid w:val="00E40E51"/>
    <w:rsid w:val="00E415C0"/>
    <w:rsid w:val="00E459A1"/>
    <w:rsid w:val="00E47F33"/>
    <w:rsid w:val="00E50BAB"/>
    <w:rsid w:val="00E50CAE"/>
    <w:rsid w:val="00E50FD0"/>
    <w:rsid w:val="00E605A2"/>
    <w:rsid w:val="00E6218C"/>
    <w:rsid w:val="00E62224"/>
    <w:rsid w:val="00E6397C"/>
    <w:rsid w:val="00E70203"/>
    <w:rsid w:val="00E7043F"/>
    <w:rsid w:val="00E7058D"/>
    <w:rsid w:val="00E72616"/>
    <w:rsid w:val="00E72A26"/>
    <w:rsid w:val="00E72EC0"/>
    <w:rsid w:val="00E7313E"/>
    <w:rsid w:val="00E736C3"/>
    <w:rsid w:val="00E73957"/>
    <w:rsid w:val="00E810B5"/>
    <w:rsid w:val="00E82005"/>
    <w:rsid w:val="00E8365C"/>
    <w:rsid w:val="00E838A1"/>
    <w:rsid w:val="00E84650"/>
    <w:rsid w:val="00E904AD"/>
    <w:rsid w:val="00E9086E"/>
    <w:rsid w:val="00E91E99"/>
    <w:rsid w:val="00E94548"/>
    <w:rsid w:val="00E95579"/>
    <w:rsid w:val="00E97500"/>
    <w:rsid w:val="00E9790A"/>
    <w:rsid w:val="00EA0DF1"/>
    <w:rsid w:val="00EA4614"/>
    <w:rsid w:val="00EA4F5A"/>
    <w:rsid w:val="00EA5510"/>
    <w:rsid w:val="00EB65D6"/>
    <w:rsid w:val="00EC0BFE"/>
    <w:rsid w:val="00EC1881"/>
    <w:rsid w:val="00EC1D72"/>
    <w:rsid w:val="00EC1DF4"/>
    <w:rsid w:val="00EC3535"/>
    <w:rsid w:val="00EC398F"/>
    <w:rsid w:val="00EC52E8"/>
    <w:rsid w:val="00EC5483"/>
    <w:rsid w:val="00EC72C2"/>
    <w:rsid w:val="00ED2135"/>
    <w:rsid w:val="00ED2743"/>
    <w:rsid w:val="00ED3331"/>
    <w:rsid w:val="00ED3A75"/>
    <w:rsid w:val="00ED6760"/>
    <w:rsid w:val="00ED7086"/>
    <w:rsid w:val="00ED7591"/>
    <w:rsid w:val="00EE0FD6"/>
    <w:rsid w:val="00EE263C"/>
    <w:rsid w:val="00EE2F72"/>
    <w:rsid w:val="00EE5212"/>
    <w:rsid w:val="00EE6092"/>
    <w:rsid w:val="00EE637D"/>
    <w:rsid w:val="00EF09C5"/>
    <w:rsid w:val="00EF1A45"/>
    <w:rsid w:val="00EF27FE"/>
    <w:rsid w:val="00EF3BEF"/>
    <w:rsid w:val="00EF6C9B"/>
    <w:rsid w:val="00EF6E75"/>
    <w:rsid w:val="00EF7140"/>
    <w:rsid w:val="00EF7A57"/>
    <w:rsid w:val="00F00575"/>
    <w:rsid w:val="00F04934"/>
    <w:rsid w:val="00F1434C"/>
    <w:rsid w:val="00F153E8"/>
    <w:rsid w:val="00F20763"/>
    <w:rsid w:val="00F2094B"/>
    <w:rsid w:val="00F20AFC"/>
    <w:rsid w:val="00F2396C"/>
    <w:rsid w:val="00F239C3"/>
    <w:rsid w:val="00F2746B"/>
    <w:rsid w:val="00F276ED"/>
    <w:rsid w:val="00F3245E"/>
    <w:rsid w:val="00F331DC"/>
    <w:rsid w:val="00F372CA"/>
    <w:rsid w:val="00F37DE8"/>
    <w:rsid w:val="00F40202"/>
    <w:rsid w:val="00F409A8"/>
    <w:rsid w:val="00F414D2"/>
    <w:rsid w:val="00F4229A"/>
    <w:rsid w:val="00F46E11"/>
    <w:rsid w:val="00F47B76"/>
    <w:rsid w:val="00F500F9"/>
    <w:rsid w:val="00F51248"/>
    <w:rsid w:val="00F51380"/>
    <w:rsid w:val="00F5153A"/>
    <w:rsid w:val="00F51D05"/>
    <w:rsid w:val="00F52401"/>
    <w:rsid w:val="00F55850"/>
    <w:rsid w:val="00F56728"/>
    <w:rsid w:val="00F56F4A"/>
    <w:rsid w:val="00F575F0"/>
    <w:rsid w:val="00F57AD0"/>
    <w:rsid w:val="00F6222E"/>
    <w:rsid w:val="00F62423"/>
    <w:rsid w:val="00F63F8B"/>
    <w:rsid w:val="00F64C33"/>
    <w:rsid w:val="00F67E51"/>
    <w:rsid w:val="00F70412"/>
    <w:rsid w:val="00F70E5E"/>
    <w:rsid w:val="00F70E79"/>
    <w:rsid w:val="00F743D7"/>
    <w:rsid w:val="00F763F6"/>
    <w:rsid w:val="00F809FD"/>
    <w:rsid w:val="00F8407B"/>
    <w:rsid w:val="00F842DB"/>
    <w:rsid w:val="00F84773"/>
    <w:rsid w:val="00F852F2"/>
    <w:rsid w:val="00F854E8"/>
    <w:rsid w:val="00F90648"/>
    <w:rsid w:val="00F92BFE"/>
    <w:rsid w:val="00F92BFF"/>
    <w:rsid w:val="00F94CFB"/>
    <w:rsid w:val="00F95CE4"/>
    <w:rsid w:val="00F96143"/>
    <w:rsid w:val="00F96697"/>
    <w:rsid w:val="00FA2CC4"/>
    <w:rsid w:val="00FA306F"/>
    <w:rsid w:val="00FA37BB"/>
    <w:rsid w:val="00FA46AC"/>
    <w:rsid w:val="00FA51A3"/>
    <w:rsid w:val="00FB15D4"/>
    <w:rsid w:val="00FB2944"/>
    <w:rsid w:val="00FB4481"/>
    <w:rsid w:val="00FB574F"/>
    <w:rsid w:val="00FB6C24"/>
    <w:rsid w:val="00FB71D0"/>
    <w:rsid w:val="00FB724F"/>
    <w:rsid w:val="00FB72CE"/>
    <w:rsid w:val="00FD35AE"/>
    <w:rsid w:val="00FD37DC"/>
    <w:rsid w:val="00FD40C0"/>
    <w:rsid w:val="00FD4653"/>
    <w:rsid w:val="00FE2C65"/>
    <w:rsid w:val="00FE402B"/>
    <w:rsid w:val="00FE4355"/>
    <w:rsid w:val="00FE47E7"/>
    <w:rsid w:val="00FE48D4"/>
    <w:rsid w:val="00FE5349"/>
    <w:rsid w:val="00FE5AA2"/>
    <w:rsid w:val="00FF13AD"/>
    <w:rsid w:val="00FF3B9F"/>
    <w:rsid w:val="01D83B5C"/>
    <w:rsid w:val="022E4507"/>
    <w:rsid w:val="02797840"/>
    <w:rsid w:val="045E5ABE"/>
    <w:rsid w:val="04925F51"/>
    <w:rsid w:val="05312184"/>
    <w:rsid w:val="05542AA0"/>
    <w:rsid w:val="057815E7"/>
    <w:rsid w:val="057F63AD"/>
    <w:rsid w:val="068839FB"/>
    <w:rsid w:val="071C47CD"/>
    <w:rsid w:val="073714E5"/>
    <w:rsid w:val="07EB5B75"/>
    <w:rsid w:val="08081C1F"/>
    <w:rsid w:val="092F2ED7"/>
    <w:rsid w:val="09415394"/>
    <w:rsid w:val="096672C9"/>
    <w:rsid w:val="0BA36404"/>
    <w:rsid w:val="0C30281C"/>
    <w:rsid w:val="0C67AEFB"/>
    <w:rsid w:val="0F7533D6"/>
    <w:rsid w:val="10A02636"/>
    <w:rsid w:val="11A004E4"/>
    <w:rsid w:val="139A2CB5"/>
    <w:rsid w:val="1407159B"/>
    <w:rsid w:val="148F2664"/>
    <w:rsid w:val="14AD417A"/>
    <w:rsid w:val="158A31A8"/>
    <w:rsid w:val="163E0C9E"/>
    <w:rsid w:val="16884B8C"/>
    <w:rsid w:val="174E6F42"/>
    <w:rsid w:val="17AB59C2"/>
    <w:rsid w:val="17D12715"/>
    <w:rsid w:val="17EF103A"/>
    <w:rsid w:val="17F73403"/>
    <w:rsid w:val="1834004D"/>
    <w:rsid w:val="194125E2"/>
    <w:rsid w:val="197B0889"/>
    <w:rsid w:val="1AF57F95"/>
    <w:rsid w:val="1B627B2B"/>
    <w:rsid w:val="1BFF56DE"/>
    <w:rsid w:val="1C44362E"/>
    <w:rsid w:val="1C496309"/>
    <w:rsid w:val="1D9F355A"/>
    <w:rsid w:val="1DCA15B0"/>
    <w:rsid w:val="1E386F7C"/>
    <w:rsid w:val="1E7804AD"/>
    <w:rsid w:val="1FDEEAF6"/>
    <w:rsid w:val="1FFF33C5"/>
    <w:rsid w:val="1FFF830B"/>
    <w:rsid w:val="201E6261"/>
    <w:rsid w:val="21F31540"/>
    <w:rsid w:val="222E5802"/>
    <w:rsid w:val="237C7EAC"/>
    <w:rsid w:val="23F67A5D"/>
    <w:rsid w:val="26A41379"/>
    <w:rsid w:val="26DB44C4"/>
    <w:rsid w:val="26E63410"/>
    <w:rsid w:val="26F57916"/>
    <w:rsid w:val="27CA8E94"/>
    <w:rsid w:val="296B4828"/>
    <w:rsid w:val="2A1E0E85"/>
    <w:rsid w:val="2A5A0449"/>
    <w:rsid w:val="2A8B5E1D"/>
    <w:rsid w:val="2BE24943"/>
    <w:rsid w:val="2BE94800"/>
    <w:rsid w:val="2BFF5131"/>
    <w:rsid w:val="2D3141EC"/>
    <w:rsid w:val="2DD65BCD"/>
    <w:rsid w:val="2DFFC4B9"/>
    <w:rsid w:val="2E7F4725"/>
    <w:rsid w:val="2EA775CA"/>
    <w:rsid w:val="2EBD4CCE"/>
    <w:rsid w:val="2F514FE2"/>
    <w:rsid w:val="2F77B1E0"/>
    <w:rsid w:val="2F7B2520"/>
    <w:rsid w:val="2FDFAB14"/>
    <w:rsid w:val="2FE4C18F"/>
    <w:rsid w:val="302771A8"/>
    <w:rsid w:val="31302E75"/>
    <w:rsid w:val="31580C5D"/>
    <w:rsid w:val="31D91588"/>
    <w:rsid w:val="31FA110D"/>
    <w:rsid w:val="337B4376"/>
    <w:rsid w:val="33EB1294"/>
    <w:rsid w:val="35506D3B"/>
    <w:rsid w:val="355A0C61"/>
    <w:rsid w:val="35722018"/>
    <w:rsid w:val="357F097F"/>
    <w:rsid w:val="35979848"/>
    <w:rsid w:val="37BF091B"/>
    <w:rsid w:val="37FFB50E"/>
    <w:rsid w:val="391F1840"/>
    <w:rsid w:val="39E72EA9"/>
    <w:rsid w:val="3A761842"/>
    <w:rsid w:val="3BF87D44"/>
    <w:rsid w:val="3C5F497D"/>
    <w:rsid w:val="3CE0139F"/>
    <w:rsid w:val="3CFFAB6E"/>
    <w:rsid w:val="3DBD64C6"/>
    <w:rsid w:val="3DF177FD"/>
    <w:rsid w:val="3E2F3B55"/>
    <w:rsid w:val="3E5EB562"/>
    <w:rsid w:val="3EC1067C"/>
    <w:rsid w:val="3EDDCE6F"/>
    <w:rsid w:val="3EFF9FCC"/>
    <w:rsid w:val="3F58383C"/>
    <w:rsid w:val="3F6928F4"/>
    <w:rsid w:val="3F6EDDE4"/>
    <w:rsid w:val="3F8116A6"/>
    <w:rsid w:val="3FAF54C1"/>
    <w:rsid w:val="3FD3A1FF"/>
    <w:rsid w:val="3FDB5011"/>
    <w:rsid w:val="3FF0F5A5"/>
    <w:rsid w:val="3FF744B7"/>
    <w:rsid w:val="3FFE11A4"/>
    <w:rsid w:val="3FFF3259"/>
    <w:rsid w:val="40D00C02"/>
    <w:rsid w:val="41B40E25"/>
    <w:rsid w:val="421E4FAF"/>
    <w:rsid w:val="42971A2D"/>
    <w:rsid w:val="42AD7EAB"/>
    <w:rsid w:val="437F4335"/>
    <w:rsid w:val="440849C2"/>
    <w:rsid w:val="45D841F0"/>
    <w:rsid w:val="46933876"/>
    <w:rsid w:val="46B26079"/>
    <w:rsid w:val="475AA9E0"/>
    <w:rsid w:val="47E033EC"/>
    <w:rsid w:val="488E2537"/>
    <w:rsid w:val="4AFC0581"/>
    <w:rsid w:val="4B754BD4"/>
    <w:rsid w:val="4BA46BAD"/>
    <w:rsid w:val="4CF353F6"/>
    <w:rsid w:val="4D400C82"/>
    <w:rsid w:val="4D671CB7"/>
    <w:rsid w:val="4E400158"/>
    <w:rsid w:val="4FFECE4C"/>
    <w:rsid w:val="50196144"/>
    <w:rsid w:val="503B50ED"/>
    <w:rsid w:val="503B633F"/>
    <w:rsid w:val="52A15096"/>
    <w:rsid w:val="52D36D66"/>
    <w:rsid w:val="53D06975"/>
    <w:rsid w:val="5477D0CD"/>
    <w:rsid w:val="54FB5776"/>
    <w:rsid w:val="550A094B"/>
    <w:rsid w:val="55C56FB0"/>
    <w:rsid w:val="55F824E7"/>
    <w:rsid w:val="56231C64"/>
    <w:rsid w:val="562B11C1"/>
    <w:rsid w:val="57124140"/>
    <w:rsid w:val="57667A22"/>
    <w:rsid w:val="57FFFE09"/>
    <w:rsid w:val="58475619"/>
    <w:rsid w:val="58A923ED"/>
    <w:rsid w:val="5A5B02CA"/>
    <w:rsid w:val="5B190B2A"/>
    <w:rsid w:val="5B1F60BB"/>
    <w:rsid w:val="5B945B62"/>
    <w:rsid w:val="5BD43E36"/>
    <w:rsid w:val="5BEFDD3E"/>
    <w:rsid w:val="5BFB8FC4"/>
    <w:rsid w:val="5CFFA004"/>
    <w:rsid w:val="5D2A4768"/>
    <w:rsid w:val="5D3E05EE"/>
    <w:rsid w:val="5D6E3A90"/>
    <w:rsid w:val="5DFB9A78"/>
    <w:rsid w:val="5E565D6F"/>
    <w:rsid w:val="5E750EE8"/>
    <w:rsid w:val="5ED00C55"/>
    <w:rsid w:val="5EE567C6"/>
    <w:rsid w:val="5EE7C00D"/>
    <w:rsid w:val="5F26140B"/>
    <w:rsid w:val="5F3F9F52"/>
    <w:rsid w:val="5F6E9AC3"/>
    <w:rsid w:val="5FBF0DCA"/>
    <w:rsid w:val="5FBFB8A9"/>
    <w:rsid w:val="5FD8A92C"/>
    <w:rsid w:val="5FDDE544"/>
    <w:rsid w:val="5FDF39AF"/>
    <w:rsid w:val="5FDFE33C"/>
    <w:rsid w:val="5FE64422"/>
    <w:rsid w:val="5FEF7973"/>
    <w:rsid w:val="5FFCA46D"/>
    <w:rsid w:val="5FFF7F5E"/>
    <w:rsid w:val="61964610"/>
    <w:rsid w:val="62F01764"/>
    <w:rsid w:val="62FE7F77"/>
    <w:rsid w:val="63372294"/>
    <w:rsid w:val="63F79211"/>
    <w:rsid w:val="65DF242F"/>
    <w:rsid w:val="662329CF"/>
    <w:rsid w:val="66413A43"/>
    <w:rsid w:val="66B0192B"/>
    <w:rsid w:val="67200677"/>
    <w:rsid w:val="675FB88C"/>
    <w:rsid w:val="678FFB2D"/>
    <w:rsid w:val="67E33754"/>
    <w:rsid w:val="67ED74DB"/>
    <w:rsid w:val="68AE7FD5"/>
    <w:rsid w:val="68FE37D7"/>
    <w:rsid w:val="68FF7F93"/>
    <w:rsid w:val="69284CB4"/>
    <w:rsid w:val="69BF6234"/>
    <w:rsid w:val="69C43F5A"/>
    <w:rsid w:val="69D7B420"/>
    <w:rsid w:val="69DC2877"/>
    <w:rsid w:val="69DD344F"/>
    <w:rsid w:val="6A2E27CA"/>
    <w:rsid w:val="6A784273"/>
    <w:rsid w:val="6AEF24DD"/>
    <w:rsid w:val="6B024AC6"/>
    <w:rsid w:val="6B741381"/>
    <w:rsid w:val="6BB4FA38"/>
    <w:rsid w:val="6BDF9D6F"/>
    <w:rsid w:val="6BFF2D6F"/>
    <w:rsid w:val="6C335DB2"/>
    <w:rsid w:val="6C426B2E"/>
    <w:rsid w:val="6C627DC5"/>
    <w:rsid w:val="6C7E3BE1"/>
    <w:rsid w:val="6CBDC079"/>
    <w:rsid w:val="6DDBADBF"/>
    <w:rsid w:val="6DFFFBF1"/>
    <w:rsid w:val="6E082B6C"/>
    <w:rsid w:val="6E6425BC"/>
    <w:rsid w:val="6E6D2850"/>
    <w:rsid w:val="6E723822"/>
    <w:rsid w:val="6E7F3419"/>
    <w:rsid w:val="6EFFBEF1"/>
    <w:rsid w:val="6F4F58A5"/>
    <w:rsid w:val="6F5F9B94"/>
    <w:rsid w:val="6FC74E99"/>
    <w:rsid w:val="6FDF62DE"/>
    <w:rsid w:val="6FE4E21B"/>
    <w:rsid w:val="6FE7D673"/>
    <w:rsid w:val="6FF3C1A6"/>
    <w:rsid w:val="6FF99EF8"/>
    <w:rsid w:val="6FFF31B5"/>
    <w:rsid w:val="71DF6CF3"/>
    <w:rsid w:val="71DF720A"/>
    <w:rsid w:val="72995E1A"/>
    <w:rsid w:val="72FE2F3C"/>
    <w:rsid w:val="730C37F7"/>
    <w:rsid w:val="73CB67EA"/>
    <w:rsid w:val="73FF6525"/>
    <w:rsid w:val="745934E1"/>
    <w:rsid w:val="74E3876E"/>
    <w:rsid w:val="753DA536"/>
    <w:rsid w:val="755FBF30"/>
    <w:rsid w:val="75773169"/>
    <w:rsid w:val="75D67CD5"/>
    <w:rsid w:val="75FE5418"/>
    <w:rsid w:val="75FE7F2E"/>
    <w:rsid w:val="76AF5F42"/>
    <w:rsid w:val="76E919DF"/>
    <w:rsid w:val="76F745A8"/>
    <w:rsid w:val="76F7C6E4"/>
    <w:rsid w:val="76FB6522"/>
    <w:rsid w:val="76FE411E"/>
    <w:rsid w:val="76FF907C"/>
    <w:rsid w:val="77065725"/>
    <w:rsid w:val="77D38453"/>
    <w:rsid w:val="77EE3EAE"/>
    <w:rsid w:val="77EFC71F"/>
    <w:rsid w:val="77F066C7"/>
    <w:rsid w:val="785C746F"/>
    <w:rsid w:val="785D78D5"/>
    <w:rsid w:val="78F16B90"/>
    <w:rsid w:val="7979CDED"/>
    <w:rsid w:val="799BF5BD"/>
    <w:rsid w:val="79B928EF"/>
    <w:rsid w:val="7A1EC7E2"/>
    <w:rsid w:val="7A5B1F8D"/>
    <w:rsid w:val="7A73136A"/>
    <w:rsid w:val="7A882B29"/>
    <w:rsid w:val="7AB01531"/>
    <w:rsid w:val="7AC43D15"/>
    <w:rsid w:val="7AF09CD5"/>
    <w:rsid w:val="7B1E2D6B"/>
    <w:rsid w:val="7B7F35DF"/>
    <w:rsid w:val="7B95369A"/>
    <w:rsid w:val="7BDF1B26"/>
    <w:rsid w:val="7BDF85FB"/>
    <w:rsid w:val="7BFECA9A"/>
    <w:rsid w:val="7CFF106C"/>
    <w:rsid w:val="7DBA3B3E"/>
    <w:rsid w:val="7DBF10E6"/>
    <w:rsid w:val="7DBF2671"/>
    <w:rsid w:val="7DBF4A6B"/>
    <w:rsid w:val="7DC670BD"/>
    <w:rsid w:val="7DDF1CC1"/>
    <w:rsid w:val="7DFF30CF"/>
    <w:rsid w:val="7DFF3C1B"/>
    <w:rsid w:val="7E6F6082"/>
    <w:rsid w:val="7E7D68CF"/>
    <w:rsid w:val="7EBC352D"/>
    <w:rsid w:val="7EFE1D2E"/>
    <w:rsid w:val="7EFECB53"/>
    <w:rsid w:val="7EFF8E26"/>
    <w:rsid w:val="7F2700C6"/>
    <w:rsid w:val="7F533C7D"/>
    <w:rsid w:val="7F71A2D3"/>
    <w:rsid w:val="7F7F40EF"/>
    <w:rsid w:val="7F8DC0A8"/>
    <w:rsid w:val="7FA79147"/>
    <w:rsid w:val="7FAB4AA3"/>
    <w:rsid w:val="7FBF935F"/>
    <w:rsid w:val="7FBFEB1C"/>
    <w:rsid w:val="7FDF7DBE"/>
    <w:rsid w:val="7FE5D9FB"/>
    <w:rsid w:val="7FEF6063"/>
    <w:rsid w:val="7FFBC730"/>
    <w:rsid w:val="7FFD36E7"/>
    <w:rsid w:val="7FFE1F7A"/>
    <w:rsid w:val="7FFE7363"/>
    <w:rsid w:val="7FFF381C"/>
    <w:rsid w:val="7FFF9C26"/>
    <w:rsid w:val="85F4C072"/>
    <w:rsid w:val="8FCEC557"/>
    <w:rsid w:val="935EBE3C"/>
    <w:rsid w:val="94F68D4A"/>
    <w:rsid w:val="95E78608"/>
    <w:rsid w:val="95FFDA26"/>
    <w:rsid w:val="976D3B30"/>
    <w:rsid w:val="97CE2EE8"/>
    <w:rsid w:val="9AFFDE2E"/>
    <w:rsid w:val="9DFE894C"/>
    <w:rsid w:val="9F27D872"/>
    <w:rsid w:val="9F8D57BA"/>
    <w:rsid w:val="9F8F82A2"/>
    <w:rsid w:val="A3FF0679"/>
    <w:rsid w:val="A476F810"/>
    <w:rsid w:val="A7FDFC7C"/>
    <w:rsid w:val="AB3F5F0A"/>
    <w:rsid w:val="AB7FDD22"/>
    <w:rsid w:val="ABBF2E3A"/>
    <w:rsid w:val="AF775B51"/>
    <w:rsid w:val="AFAB9252"/>
    <w:rsid w:val="AFF7BD42"/>
    <w:rsid w:val="B0FD186A"/>
    <w:rsid w:val="B36F85E4"/>
    <w:rsid w:val="B5CF690D"/>
    <w:rsid w:val="B7E77D5F"/>
    <w:rsid w:val="B7EE4C7C"/>
    <w:rsid w:val="B9F10186"/>
    <w:rsid w:val="BA7B23C6"/>
    <w:rsid w:val="BB4EC589"/>
    <w:rsid w:val="BBEF553E"/>
    <w:rsid w:val="BBF9416F"/>
    <w:rsid w:val="BCEFC6D4"/>
    <w:rsid w:val="BCFB58DA"/>
    <w:rsid w:val="BDFE9B05"/>
    <w:rsid w:val="BDFEB83D"/>
    <w:rsid w:val="BDFF54DF"/>
    <w:rsid w:val="BEFF768C"/>
    <w:rsid w:val="BF8E0958"/>
    <w:rsid w:val="BFAFB0E8"/>
    <w:rsid w:val="BFFD89A3"/>
    <w:rsid w:val="BFFE5D17"/>
    <w:rsid w:val="BFFEBD8C"/>
    <w:rsid w:val="C7BBB487"/>
    <w:rsid w:val="CA1BF0B9"/>
    <w:rsid w:val="CEFDCE39"/>
    <w:rsid w:val="CF6398AC"/>
    <w:rsid w:val="D3CED27A"/>
    <w:rsid w:val="D3D57063"/>
    <w:rsid w:val="D753DDAE"/>
    <w:rsid w:val="D7FDEF8A"/>
    <w:rsid w:val="DABF89FF"/>
    <w:rsid w:val="DB57BAC9"/>
    <w:rsid w:val="DBACD3B2"/>
    <w:rsid w:val="DBB73575"/>
    <w:rsid w:val="DBB75E17"/>
    <w:rsid w:val="DBF765C7"/>
    <w:rsid w:val="DBFD0086"/>
    <w:rsid w:val="DBFFFB7C"/>
    <w:rsid w:val="DC9A5513"/>
    <w:rsid w:val="DD3E7775"/>
    <w:rsid w:val="DDCECE42"/>
    <w:rsid w:val="DDFEAD0E"/>
    <w:rsid w:val="DDFF1C19"/>
    <w:rsid w:val="DE1799AD"/>
    <w:rsid w:val="DF7E133A"/>
    <w:rsid w:val="DF7F369B"/>
    <w:rsid w:val="DFB697A9"/>
    <w:rsid w:val="DFBB2CA8"/>
    <w:rsid w:val="DFBF1D39"/>
    <w:rsid w:val="DFF2B097"/>
    <w:rsid w:val="E2AB6DDF"/>
    <w:rsid w:val="E77AE0EF"/>
    <w:rsid w:val="E77E9A69"/>
    <w:rsid w:val="E7FFCFFF"/>
    <w:rsid w:val="E8749E9B"/>
    <w:rsid w:val="EAE16AA2"/>
    <w:rsid w:val="EBB580AC"/>
    <w:rsid w:val="EBE77CE3"/>
    <w:rsid w:val="ECFF0C10"/>
    <w:rsid w:val="ED177B9D"/>
    <w:rsid w:val="EDEBA2FE"/>
    <w:rsid w:val="EDFFFC16"/>
    <w:rsid w:val="EEF79E9F"/>
    <w:rsid w:val="EF66AA19"/>
    <w:rsid w:val="EF77DBCD"/>
    <w:rsid w:val="EFEBDB88"/>
    <w:rsid w:val="EFFDB8B7"/>
    <w:rsid w:val="EFFEE85C"/>
    <w:rsid w:val="F2EBADF1"/>
    <w:rsid w:val="F30BBE13"/>
    <w:rsid w:val="F3B8C1A5"/>
    <w:rsid w:val="F3BFDB7F"/>
    <w:rsid w:val="F3F75355"/>
    <w:rsid w:val="F4A6865F"/>
    <w:rsid w:val="F4B38743"/>
    <w:rsid w:val="F4B773BB"/>
    <w:rsid w:val="F562B455"/>
    <w:rsid w:val="F5ED0FD4"/>
    <w:rsid w:val="F67C973D"/>
    <w:rsid w:val="F7175DEE"/>
    <w:rsid w:val="F737E4AF"/>
    <w:rsid w:val="F7694273"/>
    <w:rsid w:val="F77F81A3"/>
    <w:rsid w:val="F7AFA943"/>
    <w:rsid w:val="F7B6AE31"/>
    <w:rsid w:val="F7DE3EBE"/>
    <w:rsid w:val="F7DFA3AC"/>
    <w:rsid w:val="F7FBABFA"/>
    <w:rsid w:val="F7FD7A64"/>
    <w:rsid w:val="F7FDE374"/>
    <w:rsid w:val="F95FDB0B"/>
    <w:rsid w:val="FA5F081C"/>
    <w:rsid w:val="FACF5867"/>
    <w:rsid w:val="FAFF43E1"/>
    <w:rsid w:val="FB478F91"/>
    <w:rsid w:val="FBAFB5A8"/>
    <w:rsid w:val="FC5E686B"/>
    <w:rsid w:val="FD5DF8E4"/>
    <w:rsid w:val="FD7EAFDC"/>
    <w:rsid w:val="FD7FA34E"/>
    <w:rsid w:val="FDF7F17B"/>
    <w:rsid w:val="FDF9789C"/>
    <w:rsid w:val="FDFD803F"/>
    <w:rsid w:val="FDFF3C9B"/>
    <w:rsid w:val="FE4B7B36"/>
    <w:rsid w:val="FE5C4507"/>
    <w:rsid w:val="FE5F0D96"/>
    <w:rsid w:val="FE734873"/>
    <w:rsid w:val="FE821836"/>
    <w:rsid w:val="FEBFFD70"/>
    <w:rsid w:val="FEE62D81"/>
    <w:rsid w:val="FEF3A7D7"/>
    <w:rsid w:val="FEFCEF65"/>
    <w:rsid w:val="FF3F5FA8"/>
    <w:rsid w:val="FF5FB224"/>
    <w:rsid w:val="FF6D60DF"/>
    <w:rsid w:val="FF7F1D25"/>
    <w:rsid w:val="FF7F73BA"/>
    <w:rsid w:val="FF979D81"/>
    <w:rsid w:val="FF9BB71B"/>
    <w:rsid w:val="FFBE3FE6"/>
    <w:rsid w:val="FFCD075B"/>
    <w:rsid w:val="FFCF9653"/>
    <w:rsid w:val="FFD83BF0"/>
    <w:rsid w:val="FFEE1C8B"/>
    <w:rsid w:val="FFEF4B5B"/>
    <w:rsid w:val="FFEFD290"/>
    <w:rsid w:val="FFF687F6"/>
    <w:rsid w:val="FFF76323"/>
    <w:rsid w:val="FFFF2E6F"/>
    <w:rsid w:val="FFFFAC51"/>
    <w:rsid w:val="FFFFB6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unhideWhenUsed/>
    <w:qFormat/>
    <w:uiPriority w:val="99"/>
    <w:pPr>
      <w:jc w:val="left"/>
    </w:pPr>
  </w:style>
  <w:style w:type="paragraph" w:styleId="5">
    <w:name w:val="Body Text"/>
    <w:basedOn w:val="1"/>
    <w:qFormat/>
    <w:uiPriority w:val="99"/>
    <w:pPr>
      <w:jc w:val="center"/>
    </w:pPr>
    <w:rPr>
      <w:sz w:val="44"/>
    </w:rPr>
  </w:style>
  <w:style w:type="paragraph" w:styleId="6">
    <w:name w:val="Date"/>
    <w:basedOn w:val="1"/>
    <w:next w:val="1"/>
    <w:link w:val="17"/>
    <w:unhideWhenUsed/>
    <w:qFormat/>
    <w:uiPriority w:val="99"/>
    <w:pPr>
      <w:ind w:left="100" w:leftChars="2500"/>
    </w:pPr>
    <w:rPr>
      <w:kern w:val="0"/>
      <w:sz w:val="20"/>
      <w:szCs w:val="20"/>
    </w:r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kern w:val="0"/>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customStyle="1" w:styleId="14">
    <w:name w:val="标题 2 Char"/>
    <w:basedOn w:val="12"/>
    <w:link w:val="3"/>
    <w:qFormat/>
    <w:uiPriority w:val="9"/>
    <w:rPr>
      <w:rFonts w:ascii="宋体" w:hAnsi="宋体" w:eastAsia="宋体" w:cs="宋体"/>
      <w:b/>
      <w:bCs/>
      <w:sz w:val="36"/>
      <w:szCs w:val="36"/>
    </w:r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99"/>
    <w:rPr>
      <w:sz w:val="18"/>
      <w:szCs w:val="18"/>
    </w:rPr>
  </w:style>
  <w:style w:type="character" w:customStyle="1" w:styleId="17">
    <w:name w:val="日期 Char"/>
    <w:basedOn w:val="12"/>
    <w:link w:val="6"/>
    <w:qFormat/>
    <w:uiPriority w:val="99"/>
  </w:style>
  <w:style w:type="paragraph" w:customStyle="1" w:styleId="18">
    <w:name w:val="p0"/>
    <w:basedOn w:val="1"/>
    <w:qFormat/>
    <w:uiPriority w:val="0"/>
    <w:pPr>
      <w:widowControl/>
    </w:pPr>
    <w:rPr>
      <w:rFonts w:ascii="Times New Roman" w:hAnsi="Times New Roman" w:eastAsia="宋体" w:cs="Times New Roman"/>
      <w:kern w:val="0"/>
      <w:szCs w:val="32"/>
    </w:rPr>
  </w:style>
  <w:style w:type="character" w:customStyle="1" w:styleId="19">
    <w:name w:val="批注框文本 Char"/>
    <w:basedOn w:val="12"/>
    <w:link w:val="7"/>
    <w:semiHidden/>
    <w:qFormat/>
    <w:uiPriority w:val="99"/>
    <w:rPr>
      <w:rFonts w:asciiTheme="minorHAnsi" w:hAnsiTheme="minorHAnsi" w:eastAsiaTheme="minorEastAsia" w:cstheme="minorBidi"/>
      <w:kern w:val="2"/>
      <w:sz w:val="18"/>
      <w:szCs w:val="18"/>
    </w:rPr>
  </w:style>
  <w:style w:type="character" w:customStyle="1" w:styleId="20">
    <w:name w:val="批注文字 Char"/>
    <w:basedOn w:val="12"/>
    <w:link w:val="4"/>
    <w:qFormat/>
    <w:uiPriority w:val="99"/>
    <w:rPr>
      <w:rFonts w:asciiTheme="minorHAnsi" w:hAnsiTheme="minorHAnsi" w:eastAsiaTheme="minorEastAsia" w:cstheme="minorBidi"/>
      <w:kern w:val="2"/>
      <w:sz w:val="21"/>
      <w:szCs w:val="22"/>
    </w:rPr>
  </w:style>
  <w:style w:type="paragraph" w:customStyle="1" w:styleId="21">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2">
    <w:name w:val="标题 1 Char"/>
    <w:basedOn w:val="12"/>
    <w:link w:val="2"/>
    <w:qFormat/>
    <w:uiPriority w:val="9"/>
    <w:rPr>
      <w:rFonts w:asciiTheme="minorHAnsi" w:hAnsiTheme="minorHAnsi" w:eastAsiaTheme="minorEastAsia" w:cstheme="minorBidi"/>
      <w:b/>
      <w:bCs/>
      <w:kern w:val="44"/>
      <w:sz w:val="44"/>
      <w:szCs w:val="44"/>
    </w:rPr>
  </w:style>
  <w:style w:type="character" w:customStyle="1" w:styleId="23">
    <w:name w:val="标题1"/>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5122</Words>
  <Characters>29198</Characters>
  <Lines>243</Lines>
  <Paragraphs>68</Paragraphs>
  <TotalTime>0</TotalTime>
  <ScaleCrop>false</ScaleCrop>
  <LinksUpToDate>false</LinksUpToDate>
  <CharactersWithSpaces>34252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2021-04-22T02:21:00Z</dcterms:created>
  <dc:creator>user</dc:creator>
  <cp:lastModifiedBy>user</cp:lastModifiedBy>
  <cp:lastPrinted>2021-02-24T22:59:00Z</cp:lastPrinted>
  <dcterms:modified xsi:type="dcterms:W3CDTF">2021-05-10T16:47:04Z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